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864BD" w14:textId="537FD481" w:rsidR="00E65D5E" w:rsidRPr="00190F7C" w:rsidRDefault="00853B46" w:rsidP="00E65D5E">
      <w:pPr>
        <w:jc w:val="center"/>
        <w:rPr>
          <w:b/>
          <w:bCs/>
          <w:sz w:val="34"/>
          <w:szCs w:val="34"/>
        </w:rPr>
      </w:pPr>
      <w:r w:rsidRPr="00853B46">
        <w:rPr>
          <w:sz w:val="34"/>
          <w:szCs w:val="34"/>
        </w:rPr>
        <w:t>Role of Institutional Factors and Environmental Policy in Improving Corporate Sustainability Initiatives in Nigerian Listed Non-Financial Firms</w:t>
      </w:r>
    </w:p>
    <w:p w14:paraId="019DDBA1" w14:textId="28746B15" w:rsidR="009B0781" w:rsidRPr="00E65D5E" w:rsidRDefault="009B0781" w:rsidP="00E65D5E">
      <w:pPr>
        <w:pStyle w:val="Els-Title"/>
      </w:pPr>
    </w:p>
    <w:p w14:paraId="6AC33007" w14:textId="77777777" w:rsidR="007832A6" w:rsidRDefault="00CD39A8" w:rsidP="008A6B0D">
      <w:pPr>
        <w:keepNext/>
        <w:pBdr>
          <w:top w:val="nil"/>
          <w:left w:val="nil"/>
          <w:bottom w:val="nil"/>
          <w:right w:val="nil"/>
          <w:between w:val="nil"/>
        </w:pBdr>
        <w:jc w:val="center"/>
        <w:rPr>
          <w:rFonts w:ascii="Noto Sans" w:hAnsi="Noto Sans" w:cs="Noto Sans"/>
          <w:sz w:val="21"/>
          <w:szCs w:val="21"/>
          <w:shd w:val="clear" w:color="auto" w:fill="FFFFFF"/>
        </w:rPr>
      </w:pPr>
      <w:r w:rsidRPr="000512C0">
        <w:rPr>
          <w:sz w:val="26"/>
          <w:szCs w:val="26"/>
        </w:rPr>
        <w:t>Auwalu Musa</w:t>
      </w:r>
      <w:r w:rsidR="000512C0" w:rsidRPr="000512C0">
        <w:rPr>
          <w:sz w:val="26"/>
          <w:szCs w:val="26"/>
          <w:vertAlign w:val="superscript"/>
        </w:rPr>
        <w:t>1</w:t>
      </w:r>
      <w:r w:rsidR="000512C0">
        <w:rPr>
          <w:sz w:val="26"/>
          <w:szCs w:val="26"/>
          <w:vertAlign w:val="superscript"/>
        </w:rPr>
        <w:t>*</w:t>
      </w:r>
      <w:r w:rsidR="000117F7" w:rsidRPr="000512C0">
        <w:rPr>
          <w:sz w:val="26"/>
          <w:szCs w:val="26"/>
        </w:rPr>
        <w:t xml:space="preserve">, </w:t>
      </w:r>
      <w:r w:rsidR="00DC5DEC" w:rsidRPr="000512C0">
        <w:rPr>
          <w:sz w:val="26"/>
          <w:szCs w:val="26"/>
        </w:rPr>
        <w:t>Usman Ahmed Kumo</w:t>
      </w:r>
      <w:r w:rsidR="000512C0" w:rsidRPr="000512C0">
        <w:rPr>
          <w:sz w:val="26"/>
          <w:szCs w:val="26"/>
          <w:vertAlign w:val="superscript"/>
        </w:rPr>
        <w:t>2</w:t>
      </w:r>
      <w:r w:rsidR="00DC035E" w:rsidRPr="000512C0">
        <w:rPr>
          <w:sz w:val="26"/>
          <w:szCs w:val="26"/>
        </w:rPr>
        <w:t>,</w:t>
      </w:r>
      <w:r w:rsidR="00E74077" w:rsidRPr="000512C0">
        <w:rPr>
          <w:sz w:val="26"/>
          <w:szCs w:val="26"/>
        </w:rPr>
        <w:t xml:space="preserve"> </w:t>
      </w:r>
      <w:proofErr w:type="spellStart"/>
      <w:r w:rsidR="000512C0" w:rsidRPr="000512C0">
        <w:rPr>
          <w:sz w:val="26"/>
          <w:szCs w:val="26"/>
        </w:rPr>
        <w:t>Fathilatul</w:t>
      </w:r>
      <w:proofErr w:type="spellEnd"/>
      <w:r w:rsidR="000512C0" w:rsidRPr="000512C0">
        <w:rPr>
          <w:sz w:val="26"/>
          <w:szCs w:val="26"/>
        </w:rPr>
        <w:t xml:space="preserve"> Zakimi Abdul Hamid</w:t>
      </w:r>
      <w:r w:rsidR="000512C0" w:rsidRPr="000512C0">
        <w:rPr>
          <w:sz w:val="26"/>
          <w:szCs w:val="26"/>
          <w:vertAlign w:val="superscript"/>
        </w:rPr>
        <w:t>3</w:t>
      </w:r>
      <w:r w:rsidR="000512C0" w:rsidRPr="000512C0">
        <w:rPr>
          <w:sz w:val="26"/>
          <w:szCs w:val="26"/>
        </w:rPr>
        <w:t>,</w:t>
      </w:r>
      <w:r w:rsidR="000512C0" w:rsidRPr="000512C0">
        <w:rPr>
          <w:rFonts w:ascii="Noto Sans" w:hAnsi="Noto Sans" w:cs="Noto Sans"/>
          <w:sz w:val="21"/>
          <w:szCs w:val="21"/>
          <w:shd w:val="clear" w:color="auto" w:fill="FFFFFF"/>
        </w:rPr>
        <w:t xml:space="preserve"> </w:t>
      </w:r>
    </w:p>
    <w:p w14:paraId="04C97056" w14:textId="7C087025" w:rsidR="009B0781" w:rsidRPr="00E65D5E" w:rsidRDefault="000512C0" w:rsidP="008A6B0D">
      <w:pPr>
        <w:keepNext/>
        <w:pBdr>
          <w:top w:val="nil"/>
          <w:left w:val="nil"/>
          <w:bottom w:val="nil"/>
          <w:right w:val="nil"/>
          <w:between w:val="nil"/>
        </w:pBdr>
        <w:jc w:val="center"/>
        <w:rPr>
          <w:color w:val="EE0000"/>
          <w:sz w:val="26"/>
          <w:szCs w:val="26"/>
        </w:rPr>
      </w:pPr>
      <w:r w:rsidRPr="000512C0">
        <w:rPr>
          <w:sz w:val="26"/>
          <w:szCs w:val="26"/>
        </w:rPr>
        <w:t>Mohd Hadafi Sahdan</w:t>
      </w:r>
      <w:r w:rsidRPr="000512C0">
        <w:rPr>
          <w:sz w:val="26"/>
          <w:szCs w:val="26"/>
          <w:vertAlign w:val="superscript"/>
        </w:rPr>
        <w:t>4</w:t>
      </w:r>
    </w:p>
    <w:p w14:paraId="54860C56" w14:textId="21F05144" w:rsidR="009B0781" w:rsidRPr="00E65D5E" w:rsidRDefault="009B0781" w:rsidP="009B0781">
      <w:pPr>
        <w:keepNext/>
        <w:pBdr>
          <w:top w:val="nil"/>
          <w:left w:val="nil"/>
          <w:bottom w:val="nil"/>
          <w:right w:val="nil"/>
          <w:between w:val="nil"/>
        </w:pBdr>
        <w:jc w:val="center"/>
        <w:rPr>
          <w:color w:val="EE0000"/>
          <w:sz w:val="26"/>
          <w:szCs w:val="26"/>
        </w:rPr>
      </w:pPr>
    </w:p>
    <w:p w14:paraId="267DDBA8" w14:textId="330A1487" w:rsidR="00CD39A8" w:rsidRDefault="00C216F7" w:rsidP="00F0441E">
      <w:pPr>
        <w:pBdr>
          <w:top w:val="nil"/>
          <w:left w:val="nil"/>
          <w:bottom w:val="nil"/>
          <w:right w:val="nil"/>
          <w:between w:val="nil"/>
        </w:pBdr>
        <w:jc w:val="center"/>
        <w:rPr>
          <w:iCs/>
          <w:sz w:val="18"/>
          <w:szCs w:val="18"/>
        </w:rPr>
      </w:pPr>
      <w:r w:rsidRPr="00C216F7">
        <w:rPr>
          <w:iCs/>
          <w:sz w:val="18"/>
          <w:szCs w:val="18"/>
          <w:vertAlign w:val="superscript"/>
        </w:rPr>
        <w:t>1</w:t>
      </w:r>
      <w:r w:rsidR="00CD39A8" w:rsidRPr="00CD39A8">
        <w:rPr>
          <w:iCs/>
          <w:sz w:val="18"/>
          <w:szCs w:val="18"/>
        </w:rPr>
        <w:t xml:space="preserve">Department of Accounting, </w:t>
      </w:r>
      <w:proofErr w:type="spellStart"/>
      <w:r w:rsidR="00CD39A8" w:rsidRPr="00CD39A8">
        <w:rPr>
          <w:iCs/>
          <w:sz w:val="18"/>
          <w:szCs w:val="18"/>
        </w:rPr>
        <w:t>Sa'adu</w:t>
      </w:r>
      <w:proofErr w:type="spellEnd"/>
      <w:r w:rsidR="00CD39A8" w:rsidRPr="00CD39A8">
        <w:rPr>
          <w:iCs/>
          <w:sz w:val="18"/>
          <w:szCs w:val="18"/>
        </w:rPr>
        <w:t xml:space="preserve"> </w:t>
      </w:r>
      <w:proofErr w:type="spellStart"/>
      <w:r w:rsidR="00CD39A8" w:rsidRPr="00CD39A8">
        <w:rPr>
          <w:iCs/>
          <w:sz w:val="18"/>
          <w:szCs w:val="18"/>
        </w:rPr>
        <w:t>Zungur</w:t>
      </w:r>
      <w:proofErr w:type="spellEnd"/>
      <w:r w:rsidR="00CD39A8" w:rsidRPr="00CD39A8">
        <w:rPr>
          <w:iCs/>
          <w:sz w:val="18"/>
          <w:szCs w:val="18"/>
        </w:rPr>
        <w:t xml:space="preserve"> University, Bauchi State, Nigeria</w:t>
      </w:r>
    </w:p>
    <w:p w14:paraId="75CD1136" w14:textId="24C240D5" w:rsidR="00DC5DEC" w:rsidRDefault="00C216F7" w:rsidP="00F0441E">
      <w:pPr>
        <w:pBdr>
          <w:top w:val="nil"/>
          <w:left w:val="nil"/>
          <w:bottom w:val="nil"/>
          <w:right w:val="nil"/>
          <w:between w:val="nil"/>
        </w:pBdr>
        <w:jc w:val="center"/>
        <w:rPr>
          <w:iCs/>
          <w:sz w:val="18"/>
          <w:szCs w:val="18"/>
        </w:rPr>
      </w:pPr>
      <w:r w:rsidRPr="00C216F7">
        <w:rPr>
          <w:iCs/>
          <w:sz w:val="18"/>
          <w:szCs w:val="18"/>
          <w:vertAlign w:val="superscript"/>
        </w:rPr>
        <w:t>2</w:t>
      </w:r>
      <w:r w:rsidR="000512C0" w:rsidRPr="000512C0">
        <w:rPr>
          <w:iCs/>
          <w:sz w:val="18"/>
          <w:szCs w:val="18"/>
        </w:rPr>
        <w:t xml:space="preserve">Department of Accounting, Nigeria Police Academy, </w:t>
      </w:r>
      <w:proofErr w:type="spellStart"/>
      <w:r w:rsidR="000512C0" w:rsidRPr="000512C0">
        <w:rPr>
          <w:iCs/>
          <w:sz w:val="18"/>
          <w:szCs w:val="18"/>
        </w:rPr>
        <w:t>Wudil</w:t>
      </w:r>
      <w:proofErr w:type="spellEnd"/>
      <w:r w:rsidR="000512C0" w:rsidRPr="000512C0">
        <w:rPr>
          <w:iCs/>
          <w:sz w:val="18"/>
          <w:szCs w:val="18"/>
        </w:rPr>
        <w:t>, Nigeria</w:t>
      </w:r>
    </w:p>
    <w:p w14:paraId="5C38DF4C" w14:textId="1AFEF6EE" w:rsidR="004746FA" w:rsidRPr="000512C0" w:rsidRDefault="00C216F7" w:rsidP="000512C0">
      <w:pPr>
        <w:pBdr>
          <w:top w:val="nil"/>
          <w:left w:val="nil"/>
          <w:bottom w:val="nil"/>
          <w:right w:val="nil"/>
          <w:between w:val="nil"/>
        </w:pBdr>
        <w:jc w:val="center"/>
        <w:rPr>
          <w:iCs/>
          <w:sz w:val="18"/>
          <w:szCs w:val="18"/>
        </w:rPr>
      </w:pPr>
      <w:r w:rsidRPr="00C216F7">
        <w:rPr>
          <w:iCs/>
          <w:sz w:val="18"/>
          <w:szCs w:val="18"/>
          <w:vertAlign w:val="superscript"/>
        </w:rPr>
        <w:t>3,4</w:t>
      </w:r>
      <w:r w:rsidR="000512C0" w:rsidRPr="000512C0">
        <w:rPr>
          <w:iCs/>
          <w:sz w:val="18"/>
          <w:szCs w:val="18"/>
        </w:rPr>
        <w:t xml:space="preserve">Tunku Puteri Intan </w:t>
      </w:r>
      <w:proofErr w:type="spellStart"/>
      <w:r w:rsidR="000512C0" w:rsidRPr="000512C0">
        <w:rPr>
          <w:iCs/>
          <w:sz w:val="18"/>
          <w:szCs w:val="18"/>
        </w:rPr>
        <w:t>Sa</w:t>
      </w:r>
      <w:r w:rsidR="000512C0">
        <w:rPr>
          <w:iCs/>
          <w:sz w:val="18"/>
          <w:szCs w:val="18"/>
        </w:rPr>
        <w:t>f</w:t>
      </w:r>
      <w:r w:rsidR="000512C0" w:rsidRPr="000512C0">
        <w:rPr>
          <w:iCs/>
          <w:sz w:val="18"/>
          <w:szCs w:val="18"/>
        </w:rPr>
        <w:t>inaz</w:t>
      </w:r>
      <w:proofErr w:type="spellEnd"/>
      <w:r w:rsidR="000512C0" w:rsidRPr="000512C0">
        <w:rPr>
          <w:iCs/>
          <w:sz w:val="18"/>
          <w:szCs w:val="18"/>
        </w:rPr>
        <w:t xml:space="preserve"> School of Accountancy, Universiti Utara Malaysia, Kedah, Malaysia</w:t>
      </w:r>
    </w:p>
    <w:p w14:paraId="41D1000F" w14:textId="77777777" w:rsidR="00F0441E" w:rsidRDefault="00F0441E" w:rsidP="009B0781">
      <w:pPr>
        <w:pBdr>
          <w:top w:val="nil"/>
          <w:left w:val="nil"/>
          <w:bottom w:val="nil"/>
          <w:right w:val="nil"/>
          <w:between w:val="nil"/>
        </w:pBdr>
        <w:jc w:val="center"/>
        <w:rPr>
          <w:iCs/>
          <w:color w:val="EE0000"/>
          <w:sz w:val="18"/>
          <w:szCs w:val="18"/>
        </w:rPr>
      </w:pPr>
    </w:p>
    <w:p w14:paraId="049EEF66" w14:textId="38E404F9" w:rsidR="0024773E" w:rsidRPr="0024773E" w:rsidRDefault="00184AC4" w:rsidP="0024773E">
      <w:pPr>
        <w:pBdr>
          <w:top w:val="nil"/>
          <w:left w:val="nil"/>
          <w:bottom w:val="nil"/>
          <w:right w:val="nil"/>
          <w:between w:val="nil"/>
        </w:pBdr>
        <w:jc w:val="center"/>
        <w:rPr>
          <w:iCs/>
          <w:color w:val="000000" w:themeColor="text1"/>
          <w:sz w:val="18"/>
          <w:szCs w:val="18"/>
          <w:lang w:val="en-MY"/>
        </w:rPr>
      </w:pPr>
      <w:r>
        <w:rPr>
          <w:iCs/>
          <w:color w:val="000000" w:themeColor="text1"/>
          <w:sz w:val="18"/>
          <w:szCs w:val="18"/>
        </w:rPr>
        <w:t>*</w:t>
      </w:r>
      <w:r w:rsidR="0024773E" w:rsidRPr="0024773E">
        <w:rPr>
          <w:iCs/>
          <w:color w:val="000000" w:themeColor="text1"/>
          <w:sz w:val="18"/>
          <w:szCs w:val="18"/>
        </w:rPr>
        <w:t>Corresponding author:</w:t>
      </w:r>
      <w:r w:rsidR="0024773E" w:rsidRPr="0024773E">
        <w:rPr>
          <w:iCs/>
          <w:color w:val="000000" w:themeColor="text1"/>
          <w:sz w:val="18"/>
          <w:szCs w:val="18"/>
        </w:rPr>
        <w:br/>
        <w:t>E-mail:</w:t>
      </w:r>
      <w:r w:rsidR="0024773E" w:rsidRPr="0024773E">
        <w:rPr>
          <w:iCs/>
          <w:sz w:val="18"/>
          <w:szCs w:val="18"/>
        </w:rPr>
        <w:t xml:space="preserve"> auwalumusa@sazu.edu.ng</w:t>
      </w:r>
      <w:r w:rsidR="0024773E" w:rsidRPr="0024773E">
        <w:rPr>
          <w:iCs/>
          <w:color w:val="000000" w:themeColor="text1"/>
          <w:sz w:val="18"/>
          <w:szCs w:val="18"/>
        </w:rPr>
        <w:br/>
      </w:r>
      <w:r w:rsidR="003F631D" w:rsidRPr="00BD403B">
        <w:rPr>
          <w:iCs/>
          <w:color w:val="000000" w:themeColor="text1"/>
          <w:sz w:val="18"/>
          <w:szCs w:val="18"/>
        </w:rPr>
        <w:t xml:space="preserve">ORCID </w:t>
      </w:r>
      <w:proofErr w:type="spellStart"/>
      <w:r w:rsidR="003F631D" w:rsidRPr="00BD403B">
        <w:rPr>
          <w:iCs/>
          <w:color w:val="000000" w:themeColor="text1"/>
          <w:sz w:val="18"/>
          <w:szCs w:val="18"/>
        </w:rPr>
        <w:t>iD</w:t>
      </w:r>
      <w:proofErr w:type="spellEnd"/>
      <w:r w:rsidR="003F631D">
        <w:rPr>
          <w:iCs/>
          <w:color w:val="000000" w:themeColor="text1"/>
          <w:sz w:val="18"/>
          <w:szCs w:val="18"/>
        </w:rPr>
        <w:t>:</w:t>
      </w:r>
      <w:r w:rsidR="003F631D">
        <w:rPr>
          <w:iCs/>
          <w:color w:val="000000" w:themeColor="text1"/>
          <w:sz w:val="18"/>
          <w:szCs w:val="18"/>
          <w:lang w:val="en-MY"/>
        </w:rPr>
        <w:t xml:space="preserve"> </w:t>
      </w:r>
      <w:r w:rsidR="003F631D" w:rsidRPr="00437AEE">
        <w:rPr>
          <w:iCs/>
          <w:color w:val="000000" w:themeColor="text1"/>
          <w:sz w:val="18"/>
          <w:szCs w:val="18"/>
          <w:lang w:val="en-MY"/>
        </w:rPr>
        <w:t>https://orcid.org/</w:t>
      </w:r>
      <w:hyperlink r:id="rId9" w:history="1">
        <w:r w:rsidR="0024773E" w:rsidRPr="0024773E">
          <w:rPr>
            <w:rStyle w:val="Hyperlink"/>
            <w:iCs/>
            <w:sz w:val="18"/>
            <w:szCs w:val="18"/>
          </w:rPr>
          <w:t>0000-0002-8499-2849</w:t>
        </w:r>
      </w:hyperlink>
    </w:p>
    <w:p w14:paraId="31FE4715" w14:textId="77777777" w:rsidR="007832A6" w:rsidRPr="0024773E" w:rsidRDefault="007832A6" w:rsidP="007832A6">
      <w:pPr>
        <w:jc w:val="center"/>
        <w:rPr>
          <w:iCs/>
          <w:color w:val="FF0000"/>
          <w:sz w:val="18"/>
          <w:szCs w:val="18"/>
        </w:rPr>
      </w:pPr>
    </w:p>
    <w:tbl>
      <w:tblPr>
        <w:tblW w:w="0" w:type="auto"/>
        <w:tblLook w:val="04A0" w:firstRow="1" w:lastRow="0" w:firstColumn="1" w:lastColumn="0" w:noHBand="0" w:noVBand="1"/>
      </w:tblPr>
      <w:tblGrid>
        <w:gridCol w:w="3150"/>
        <w:gridCol w:w="257"/>
        <w:gridCol w:w="5097"/>
      </w:tblGrid>
      <w:tr w:rsidR="007832A6" w:rsidRPr="007121ED" w14:paraId="41B47AC3" w14:textId="77777777" w:rsidTr="001F7D55">
        <w:tc>
          <w:tcPr>
            <w:tcW w:w="2906" w:type="dxa"/>
            <w:tcBorders>
              <w:top w:val="single" w:sz="6" w:space="0" w:color="auto"/>
              <w:bottom w:val="single" w:sz="6" w:space="0" w:color="auto"/>
            </w:tcBorders>
          </w:tcPr>
          <w:p w14:paraId="02F9C00F" w14:textId="77777777" w:rsidR="007832A6" w:rsidRPr="007121ED" w:rsidRDefault="007832A6" w:rsidP="001F7D55">
            <w:pPr>
              <w:spacing w:before="120" w:after="60" w:line="200" w:lineRule="exact"/>
              <w:rPr>
                <w:spacing w:val="40"/>
                <w:lang w:val="en-US"/>
              </w:rPr>
            </w:pPr>
            <w:bookmarkStart w:id="0" w:name="_Hlk209556420"/>
            <w:r w:rsidRPr="007121ED">
              <w:rPr>
                <w:spacing w:val="40"/>
                <w:lang w:val="en-US"/>
              </w:rPr>
              <w:t>ARTICLE INFO</w:t>
            </w:r>
          </w:p>
        </w:tc>
        <w:tc>
          <w:tcPr>
            <w:tcW w:w="262" w:type="dxa"/>
            <w:tcBorders>
              <w:top w:val="single" w:sz="6" w:space="0" w:color="auto"/>
            </w:tcBorders>
          </w:tcPr>
          <w:p w14:paraId="4249A13E" w14:textId="77777777" w:rsidR="007832A6" w:rsidRPr="007121ED" w:rsidRDefault="007832A6" w:rsidP="001F7D55">
            <w:pPr>
              <w:spacing w:before="120" w:after="60" w:line="200" w:lineRule="exact"/>
              <w:rPr>
                <w:lang w:val="en-US"/>
              </w:rPr>
            </w:pPr>
          </w:p>
        </w:tc>
        <w:tc>
          <w:tcPr>
            <w:tcW w:w="5552" w:type="dxa"/>
            <w:tcBorders>
              <w:top w:val="single" w:sz="6" w:space="0" w:color="auto"/>
              <w:bottom w:val="single" w:sz="6" w:space="0" w:color="auto"/>
            </w:tcBorders>
          </w:tcPr>
          <w:p w14:paraId="1DBB9E4C" w14:textId="77777777" w:rsidR="007832A6" w:rsidRPr="007121ED" w:rsidRDefault="007832A6" w:rsidP="001F7D55">
            <w:pPr>
              <w:spacing w:before="120" w:after="60" w:line="200" w:lineRule="exact"/>
              <w:rPr>
                <w:spacing w:val="40"/>
                <w:lang w:val="en-US"/>
              </w:rPr>
            </w:pPr>
            <w:r w:rsidRPr="007121ED">
              <w:rPr>
                <w:spacing w:val="40"/>
                <w:lang w:val="en-US"/>
              </w:rPr>
              <w:t>ABSTRACT</w:t>
            </w:r>
          </w:p>
        </w:tc>
      </w:tr>
      <w:tr w:rsidR="007832A6" w:rsidRPr="007121ED" w14:paraId="2C58B5AF" w14:textId="77777777" w:rsidTr="001F7D55">
        <w:tc>
          <w:tcPr>
            <w:tcW w:w="2906" w:type="dxa"/>
            <w:tcBorders>
              <w:top w:val="single" w:sz="6" w:space="0" w:color="auto"/>
              <w:bottom w:val="single" w:sz="6" w:space="0" w:color="auto"/>
            </w:tcBorders>
            <w:tcMar>
              <w:top w:w="72" w:type="dxa"/>
              <w:left w:w="115" w:type="dxa"/>
              <w:right w:w="115" w:type="dxa"/>
            </w:tcMar>
          </w:tcPr>
          <w:p w14:paraId="0785AA8F" w14:textId="77777777" w:rsidR="007832A6" w:rsidRDefault="007832A6" w:rsidP="007832A6">
            <w:pPr>
              <w:spacing w:line="200" w:lineRule="auto"/>
              <w:rPr>
                <w:sz w:val="18"/>
                <w:szCs w:val="18"/>
              </w:rPr>
            </w:pPr>
            <w:r>
              <w:rPr>
                <w:i/>
                <w:sz w:val="18"/>
                <w:szCs w:val="18"/>
              </w:rPr>
              <w:t>Article history:</w:t>
            </w:r>
          </w:p>
          <w:p w14:paraId="2DECE9B8" w14:textId="77777777" w:rsidR="007832A6" w:rsidRPr="00745A95" w:rsidRDefault="007832A6" w:rsidP="007832A6">
            <w:pPr>
              <w:spacing w:line="200" w:lineRule="auto"/>
              <w:rPr>
                <w:color w:val="000000" w:themeColor="text1"/>
                <w:sz w:val="18"/>
                <w:szCs w:val="18"/>
              </w:rPr>
            </w:pPr>
            <w:r w:rsidRPr="00745A95">
              <w:rPr>
                <w:color w:val="000000" w:themeColor="text1"/>
                <w:sz w:val="18"/>
                <w:szCs w:val="18"/>
              </w:rPr>
              <w:t>Received</w:t>
            </w:r>
            <w:r w:rsidRPr="00E65D5E">
              <w:rPr>
                <w:color w:val="EE0000"/>
                <w:sz w:val="18"/>
                <w:szCs w:val="18"/>
              </w:rPr>
              <w:t xml:space="preserve"> </w:t>
            </w:r>
            <w:r w:rsidRPr="00E65D5E">
              <w:rPr>
                <w:sz w:val="18"/>
                <w:szCs w:val="18"/>
              </w:rPr>
              <w:t>22 October 2025</w:t>
            </w:r>
          </w:p>
          <w:p w14:paraId="74CF1367" w14:textId="77777777" w:rsidR="007832A6" w:rsidRPr="000B3E80" w:rsidRDefault="007832A6" w:rsidP="007832A6">
            <w:pPr>
              <w:spacing w:line="200" w:lineRule="auto"/>
              <w:rPr>
                <w:sz w:val="18"/>
                <w:szCs w:val="18"/>
              </w:rPr>
            </w:pPr>
            <w:r w:rsidRPr="000B3E80">
              <w:rPr>
                <w:sz w:val="18"/>
                <w:szCs w:val="18"/>
              </w:rPr>
              <w:t xml:space="preserve">Accepted  </w:t>
            </w:r>
            <w:r>
              <w:rPr>
                <w:sz w:val="18"/>
                <w:szCs w:val="18"/>
              </w:rPr>
              <w:t>1 January</w:t>
            </w:r>
            <w:r w:rsidRPr="000B3E80">
              <w:rPr>
                <w:sz w:val="18"/>
                <w:szCs w:val="18"/>
              </w:rPr>
              <w:t xml:space="preserve"> 202</w:t>
            </w:r>
            <w:r>
              <w:rPr>
                <w:sz w:val="18"/>
                <w:szCs w:val="18"/>
              </w:rPr>
              <w:t>6</w:t>
            </w:r>
          </w:p>
          <w:p w14:paraId="75C7E97C" w14:textId="62CE41AC" w:rsidR="007E6985" w:rsidRDefault="007E6985" w:rsidP="007E6985">
            <w:pPr>
              <w:spacing w:line="200" w:lineRule="exact"/>
              <w:rPr>
                <w:sz w:val="18"/>
                <w:szCs w:val="18"/>
                <w:lang w:val="en-US"/>
              </w:rPr>
            </w:pPr>
            <w:r>
              <w:rPr>
                <w:sz w:val="18"/>
                <w:szCs w:val="18"/>
                <w:lang w:val="en-US"/>
              </w:rPr>
              <w:t>Publish Pre-press 2 January 2026</w:t>
            </w:r>
          </w:p>
          <w:p w14:paraId="5E8DE2CF" w14:textId="77777777" w:rsidR="006C4EE1" w:rsidRPr="00E65B46" w:rsidRDefault="006C4EE1" w:rsidP="006C4EE1">
            <w:pPr>
              <w:spacing w:line="200" w:lineRule="exact"/>
              <w:rPr>
                <w:sz w:val="18"/>
                <w:szCs w:val="18"/>
                <w:lang w:val="en-US"/>
              </w:rPr>
            </w:pPr>
            <w:r w:rsidRPr="00E65B46">
              <w:rPr>
                <w:sz w:val="18"/>
                <w:szCs w:val="18"/>
                <w:lang w:val="en-US"/>
              </w:rPr>
              <w:t>Published 30 May 2026</w:t>
            </w:r>
          </w:p>
          <w:p w14:paraId="53483338" w14:textId="77777777" w:rsidR="007832A6" w:rsidRPr="001B567B" w:rsidRDefault="007832A6" w:rsidP="001F7D55">
            <w:pPr>
              <w:spacing w:line="200" w:lineRule="exact"/>
              <w:rPr>
                <w:color w:val="EE0000"/>
                <w:sz w:val="18"/>
                <w:szCs w:val="18"/>
                <w:lang w:val="en-US"/>
              </w:rPr>
            </w:pPr>
          </w:p>
          <w:p w14:paraId="13E1D046" w14:textId="77777777" w:rsidR="007832A6" w:rsidRPr="005F756C" w:rsidRDefault="007832A6" w:rsidP="001F7D55">
            <w:pPr>
              <w:spacing w:line="200" w:lineRule="exact"/>
              <w:rPr>
                <w:color w:val="EE0000"/>
                <w:sz w:val="18"/>
                <w:szCs w:val="18"/>
                <w:lang w:val="en-US"/>
              </w:rPr>
            </w:pPr>
          </w:p>
        </w:tc>
        <w:tc>
          <w:tcPr>
            <w:tcW w:w="262" w:type="dxa"/>
          </w:tcPr>
          <w:p w14:paraId="58FFDA9B" w14:textId="77777777" w:rsidR="007832A6" w:rsidRPr="009456FD" w:rsidRDefault="007832A6" w:rsidP="001F7D55">
            <w:pPr>
              <w:spacing w:line="200" w:lineRule="exact"/>
              <w:rPr>
                <w:sz w:val="18"/>
                <w:szCs w:val="18"/>
                <w:lang w:val="en-US"/>
              </w:rPr>
            </w:pPr>
          </w:p>
        </w:tc>
        <w:tc>
          <w:tcPr>
            <w:tcW w:w="5552" w:type="dxa"/>
            <w:vMerge w:val="restart"/>
            <w:tcBorders>
              <w:top w:val="single" w:sz="6" w:space="0" w:color="auto"/>
            </w:tcBorders>
          </w:tcPr>
          <w:p w14:paraId="501C1E13" w14:textId="77777777" w:rsidR="007832A6" w:rsidRPr="00190F7C" w:rsidRDefault="007832A6" w:rsidP="007832A6">
            <w:pPr>
              <w:jc w:val="both"/>
              <w:rPr>
                <w:sz w:val="18"/>
                <w:szCs w:val="18"/>
              </w:rPr>
            </w:pPr>
            <w:r w:rsidRPr="00190F7C">
              <w:rPr>
                <w:sz w:val="18"/>
                <w:szCs w:val="18"/>
              </w:rPr>
              <w:t>As a result of low attention given towards corporate sustainability initiatives (CSI) which encompass economic, environmental, social, and governance aspects by companies to their host communities, this study examines the relationship between institutional factors such as economic constraints, and competition, and environmental policy towards CSI, as well as firm specific attributes such as company size and leverage on the Nigerian non-financial listed firms. Data were collected from the firms assessed and documented by global consensus rate of corporate social responsibility (CSRHUB) from 2018 to 2023. A total of 300 firm-year observations were considered using the annual reports and accounts of 50 sampled companies. The panel-corrected standard errors (PCSEs) and fixed generalised lease square (GLS) regression models were used to test the hypotheses for this study. The result established that economic constraints measured by access to finance is not significantly related to CSI. In contrast, competition and environmental policy are positive and significantly associated with CSI. Likewise, company size and leverage indicate a positive relationship with CSI. Hence, this study suggests that regulatory authorities should assess how the companies deal with issues relating economic constraints to ensure a good access to finance that could be responsible for sustainability initiative practices among non-financial firms in Nigeria.</w:t>
            </w:r>
          </w:p>
          <w:p w14:paraId="3D7E2B87" w14:textId="77777777" w:rsidR="007832A6" w:rsidRPr="00BC3F0D" w:rsidRDefault="007832A6" w:rsidP="007832A6">
            <w:pPr>
              <w:pBdr>
                <w:top w:val="nil"/>
                <w:left w:val="nil"/>
                <w:bottom w:val="nil"/>
                <w:right w:val="nil"/>
                <w:between w:val="nil"/>
              </w:pBdr>
              <w:spacing w:line="220" w:lineRule="auto"/>
              <w:jc w:val="both"/>
              <w:rPr>
                <w:color w:val="000000" w:themeColor="text1"/>
                <w:szCs w:val="18"/>
              </w:rPr>
            </w:pPr>
          </w:p>
        </w:tc>
      </w:tr>
      <w:tr w:rsidR="007832A6" w:rsidRPr="007121ED" w14:paraId="1EEDF7EF" w14:textId="77777777" w:rsidTr="001F7D55">
        <w:tc>
          <w:tcPr>
            <w:tcW w:w="2906" w:type="dxa"/>
            <w:tcBorders>
              <w:top w:val="single" w:sz="6" w:space="0" w:color="auto"/>
              <w:bottom w:val="single" w:sz="6" w:space="0" w:color="auto"/>
            </w:tcBorders>
            <w:tcMar>
              <w:top w:w="72" w:type="dxa"/>
              <w:left w:w="115" w:type="dxa"/>
              <w:right w:w="115" w:type="dxa"/>
            </w:tcMar>
          </w:tcPr>
          <w:p w14:paraId="30EEC25A" w14:textId="77777777" w:rsidR="007832A6" w:rsidRDefault="007832A6" w:rsidP="007832A6">
            <w:pPr>
              <w:spacing w:line="200" w:lineRule="auto"/>
              <w:rPr>
                <w:sz w:val="18"/>
                <w:szCs w:val="18"/>
              </w:rPr>
            </w:pPr>
            <w:r>
              <w:rPr>
                <w:i/>
                <w:sz w:val="18"/>
                <w:szCs w:val="18"/>
              </w:rPr>
              <w:t>Keywords:</w:t>
            </w:r>
          </w:p>
          <w:p w14:paraId="52A2D075" w14:textId="77777777" w:rsidR="007832A6" w:rsidRDefault="007832A6" w:rsidP="007832A6">
            <w:pPr>
              <w:spacing w:line="200" w:lineRule="auto"/>
              <w:rPr>
                <w:bCs/>
                <w:sz w:val="18"/>
                <w:szCs w:val="18"/>
              </w:rPr>
            </w:pPr>
            <w:r w:rsidRPr="00190F7C">
              <w:rPr>
                <w:bCs/>
                <w:sz w:val="18"/>
                <w:szCs w:val="18"/>
              </w:rPr>
              <w:t>Environmental Policy</w:t>
            </w:r>
          </w:p>
          <w:p w14:paraId="4B240992" w14:textId="77777777" w:rsidR="007832A6" w:rsidRDefault="007832A6" w:rsidP="007832A6">
            <w:pPr>
              <w:spacing w:line="200" w:lineRule="auto"/>
              <w:rPr>
                <w:bCs/>
                <w:sz w:val="18"/>
                <w:szCs w:val="18"/>
              </w:rPr>
            </w:pPr>
            <w:r w:rsidRPr="00190F7C">
              <w:rPr>
                <w:bCs/>
                <w:sz w:val="18"/>
                <w:szCs w:val="18"/>
              </w:rPr>
              <w:t>Corporate Sustainability Initiatives</w:t>
            </w:r>
          </w:p>
          <w:p w14:paraId="4090038D" w14:textId="77777777" w:rsidR="007832A6" w:rsidRDefault="007832A6" w:rsidP="007832A6">
            <w:pPr>
              <w:spacing w:line="200" w:lineRule="auto"/>
              <w:rPr>
                <w:bCs/>
                <w:sz w:val="18"/>
                <w:szCs w:val="18"/>
              </w:rPr>
            </w:pPr>
            <w:r w:rsidRPr="00190F7C">
              <w:rPr>
                <w:bCs/>
                <w:sz w:val="18"/>
                <w:szCs w:val="18"/>
              </w:rPr>
              <w:t>Institutional Factors</w:t>
            </w:r>
          </w:p>
          <w:p w14:paraId="6FE50612" w14:textId="77777777" w:rsidR="007832A6" w:rsidRDefault="007832A6" w:rsidP="007832A6">
            <w:pPr>
              <w:spacing w:line="200" w:lineRule="auto"/>
              <w:rPr>
                <w:sz w:val="18"/>
                <w:szCs w:val="18"/>
              </w:rPr>
            </w:pPr>
            <w:r w:rsidRPr="00190F7C">
              <w:rPr>
                <w:bCs/>
                <w:sz w:val="18"/>
                <w:szCs w:val="18"/>
              </w:rPr>
              <w:t>Nigeria</w:t>
            </w:r>
          </w:p>
          <w:p w14:paraId="4026D62D" w14:textId="77777777" w:rsidR="007832A6" w:rsidRPr="00F954CA" w:rsidRDefault="007832A6" w:rsidP="007832A6">
            <w:pPr>
              <w:spacing w:line="200" w:lineRule="auto"/>
              <w:rPr>
                <w:sz w:val="18"/>
                <w:szCs w:val="18"/>
              </w:rPr>
            </w:pPr>
          </w:p>
          <w:p w14:paraId="2CF35D15" w14:textId="77777777" w:rsidR="007832A6" w:rsidRPr="001F140F" w:rsidRDefault="007832A6" w:rsidP="007832A6">
            <w:pPr>
              <w:spacing w:line="200" w:lineRule="auto"/>
              <w:rPr>
                <w:i/>
                <w:iCs/>
                <w:sz w:val="18"/>
                <w:szCs w:val="18"/>
              </w:rPr>
            </w:pPr>
            <w:r w:rsidRPr="00F954CA">
              <w:rPr>
                <w:i/>
                <w:iCs/>
                <w:sz w:val="18"/>
                <w:szCs w:val="18"/>
              </w:rPr>
              <w:t>DOI</w:t>
            </w:r>
          </w:p>
          <w:p w14:paraId="4153EF54" w14:textId="0F46B537" w:rsidR="007832A6" w:rsidRPr="005F756C" w:rsidRDefault="007832A6" w:rsidP="007832A6">
            <w:pPr>
              <w:spacing w:line="200" w:lineRule="exact"/>
              <w:rPr>
                <w:color w:val="EE0000"/>
                <w:sz w:val="18"/>
                <w:szCs w:val="18"/>
                <w:lang w:val="en-US"/>
              </w:rPr>
            </w:pPr>
            <w:r w:rsidRPr="002729E2">
              <w:rPr>
                <w:color w:val="000000" w:themeColor="text1"/>
                <w:sz w:val="18"/>
                <w:szCs w:val="18"/>
              </w:rPr>
              <w:t>https://doi.org/</w:t>
            </w:r>
            <w:r w:rsidRPr="002729E2">
              <w:rPr>
                <w:color w:val="000000" w:themeColor="text1"/>
                <w:sz w:val="18"/>
                <w:lang w:val="en-US"/>
              </w:rPr>
              <w:t>10.24191/</w:t>
            </w:r>
            <w:r w:rsidRPr="002357CB">
              <w:rPr>
                <w:color w:val="000000" w:themeColor="text1"/>
                <w:sz w:val="18"/>
                <w:lang w:val="en-US"/>
              </w:rPr>
              <w:t>jibe.v11i1.</w:t>
            </w:r>
            <w:r>
              <w:rPr>
                <w:color w:val="000000" w:themeColor="text1"/>
                <w:sz w:val="18"/>
                <w:lang w:val="en-US"/>
              </w:rPr>
              <w:t>9285</w:t>
            </w:r>
          </w:p>
        </w:tc>
        <w:tc>
          <w:tcPr>
            <w:tcW w:w="262" w:type="dxa"/>
            <w:tcBorders>
              <w:bottom w:val="single" w:sz="6" w:space="0" w:color="auto"/>
            </w:tcBorders>
          </w:tcPr>
          <w:p w14:paraId="4C1140E2" w14:textId="77777777" w:rsidR="007832A6" w:rsidRPr="009456FD" w:rsidRDefault="007832A6" w:rsidP="001F7D55">
            <w:pPr>
              <w:spacing w:line="200" w:lineRule="exact"/>
              <w:rPr>
                <w:sz w:val="18"/>
                <w:szCs w:val="18"/>
                <w:lang w:val="en-US"/>
              </w:rPr>
            </w:pPr>
          </w:p>
        </w:tc>
        <w:tc>
          <w:tcPr>
            <w:tcW w:w="5552" w:type="dxa"/>
            <w:vMerge/>
            <w:tcBorders>
              <w:bottom w:val="single" w:sz="6" w:space="0" w:color="auto"/>
            </w:tcBorders>
          </w:tcPr>
          <w:p w14:paraId="4CF2EFFF" w14:textId="77777777" w:rsidR="007832A6" w:rsidRPr="009456FD" w:rsidRDefault="007832A6" w:rsidP="001F7D55">
            <w:pPr>
              <w:spacing w:line="200" w:lineRule="exact"/>
              <w:rPr>
                <w:sz w:val="18"/>
                <w:szCs w:val="18"/>
                <w:lang w:val="en-US"/>
              </w:rPr>
            </w:pPr>
          </w:p>
        </w:tc>
      </w:tr>
      <w:bookmarkEnd w:id="0"/>
    </w:tbl>
    <w:p w14:paraId="5EEFD654" w14:textId="77777777" w:rsidR="007832A6" w:rsidRDefault="007832A6" w:rsidP="007832A6">
      <w:pPr>
        <w:pBdr>
          <w:top w:val="nil"/>
          <w:left w:val="nil"/>
          <w:bottom w:val="nil"/>
          <w:right w:val="nil"/>
          <w:between w:val="nil"/>
        </w:pBdr>
      </w:pPr>
    </w:p>
    <w:p w14:paraId="597FB6D2" w14:textId="77777777" w:rsidR="00EE09C0" w:rsidRDefault="00EE09C0" w:rsidP="007832A6">
      <w:pPr>
        <w:pBdr>
          <w:top w:val="nil"/>
          <w:left w:val="nil"/>
          <w:bottom w:val="nil"/>
          <w:right w:val="nil"/>
          <w:between w:val="nil"/>
        </w:pBdr>
      </w:pPr>
    </w:p>
    <w:p w14:paraId="6B178453" w14:textId="77777777" w:rsidR="00EE09C0" w:rsidRDefault="00EE09C0" w:rsidP="007832A6">
      <w:pPr>
        <w:pBdr>
          <w:top w:val="nil"/>
          <w:left w:val="nil"/>
          <w:bottom w:val="nil"/>
          <w:right w:val="nil"/>
          <w:between w:val="nil"/>
        </w:pBdr>
      </w:pPr>
    </w:p>
    <w:p w14:paraId="25FFDE89" w14:textId="77777777" w:rsidR="00EE09C0" w:rsidRPr="00CB5EA3" w:rsidRDefault="00EE09C0" w:rsidP="007832A6">
      <w:pPr>
        <w:pBdr>
          <w:top w:val="nil"/>
          <w:left w:val="nil"/>
          <w:bottom w:val="nil"/>
          <w:right w:val="nil"/>
          <w:between w:val="nil"/>
        </w:pBdr>
      </w:pPr>
    </w:p>
    <w:p w14:paraId="68668C9A" w14:textId="36C91E19" w:rsidR="004746FA" w:rsidRPr="00CB5EA3" w:rsidRDefault="000117F7" w:rsidP="00EE09C0">
      <w:pPr>
        <w:numPr>
          <w:ilvl w:val="0"/>
          <w:numId w:val="2"/>
        </w:numPr>
        <w:pBdr>
          <w:top w:val="nil"/>
          <w:left w:val="nil"/>
          <w:bottom w:val="nil"/>
          <w:right w:val="nil"/>
          <w:between w:val="nil"/>
        </w:pBdr>
      </w:pPr>
      <w:r>
        <w:rPr>
          <w:b/>
          <w:color w:val="000000"/>
        </w:rPr>
        <w:lastRenderedPageBreak/>
        <w:t>Introduction</w:t>
      </w:r>
    </w:p>
    <w:p w14:paraId="0940F031" w14:textId="1F4FBACA" w:rsidR="00CB5EA3" w:rsidRDefault="00CB5EA3" w:rsidP="00EE09C0">
      <w:pPr>
        <w:pBdr>
          <w:top w:val="nil"/>
          <w:left w:val="nil"/>
          <w:bottom w:val="nil"/>
          <w:right w:val="nil"/>
          <w:between w:val="nil"/>
        </w:pBdr>
        <w:ind w:left="360"/>
      </w:pPr>
    </w:p>
    <w:p w14:paraId="06F9785A" w14:textId="1BC6236D" w:rsidR="00B13712" w:rsidRPr="00190F7C" w:rsidRDefault="00B13712" w:rsidP="00EE09C0">
      <w:pPr>
        <w:ind w:firstLine="284"/>
        <w:jc w:val="both"/>
      </w:pPr>
      <w:r w:rsidRPr="00190F7C">
        <w:t xml:space="preserve">Sustainability is one of the most vital and dominant issues in an environment that has stung from overpopulation, pollution, climate change, and resource diminution. It has turn out to be progressively pertinent area of research, taking the varied consideration of businesses and academia (Hahn &amp; </w:t>
      </w:r>
      <w:proofErr w:type="spellStart"/>
      <w:r w:rsidRPr="00190F7C">
        <w:t>Kühnen</w:t>
      </w:r>
      <w:proofErr w:type="spellEnd"/>
      <w:r w:rsidRPr="00190F7C">
        <w:t xml:space="preserve">, 2013; Ruiz-Lozano &amp; Tirado-Valencia, 2016). Prior scholars for instance, </w:t>
      </w:r>
      <w:r w:rsidRPr="00190F7C">
        <w:fldChar w:fldCharType="begin"/>
      </w:r>
      <w:r w:rsidRPr="00190F7C">
        <w:instrText>ADDIN CSL_CITATION {"citationItems":[{"id":"ITEM-1","itemData":{"DOI":"10.5296/ijafr.v9i2.14665","abstract":"The main objective of this study is to investigate Corporate Social Responsibility (CSR) practices by listed companies in Malaysia and Singapore. These companies have been classified as sustainability index companies by the stock exchanges in those countries. Sustainability is a sister concept of CSR. The results of the study show the influence of the stock exchanges and government in business CSR initiatives. The second objective of this study is to suggest three variables, namely Government Link Companies, Reporting Website and Assurance Report, to mirror the recent changes in CSR practices. The results also show the significant influence of these three variables in explaining the current business CSR practice in two countries. Finally, the study also suggests that future research should employ third party CSR data, for the accuracy and reliability of the result.","author":[{"dropping-particle":"","family":"Hamid","given":"Fathilatul Zakimi Abdul","non-dropping-particle":"","parse-names":false,"suffix":""},{"dropping-particle":"","family":"Othman","given":"Zaleha","non-dropping-particle":"","parse-names":false,"suffix":""}],"container-title":"International Journal of Accounting and Financial Reporting","id":"ITEM-1","issue":"2","issued":{"date-parts":[["2019"]]},"page":"1-11","title":"Corporate Social Responsibility by Malaysian and Singapore Sustainable Index Companies","type":"article-journal","volume":"9"},"uris":["http://www.mendeley.com/documents/?uuid=64440a9b-af4b-4169-bdad-6afe4afe3b92"]}],"mendeley":{"formattedCitation":"(Hamid &amp; Othman, 2019)","manualFormatting":"Hamid and Othman (2019)","plainTextFormattedCitation":"(Hamid &amp; Othman, 2019)","previouslyFormattedCitation":"(Hamid &amp; Othman, 2019)"},"properties":{"noteIndex":0},"schema":"https://github.com/citation-style-language/schema/raw/master/csl-citation.json"}</w:instrText>
      </w:r>
      <w:r w:rsidRPr="00190F7C">
        <w:fldChar w:fldCharType="separate"/>
      </w:r>
      <w:r w:rsidRPr="00190F7C">
        <w:t>Hamid and Othman (2019)</w:t>
      </w:r>
      <w:r w:rsidRPr="00190F7C">
        <w:fldChar w:fldCharType="end"/>
      </w:r>
      <w:r w:rsidRPr="00190F7C">
        <w:t xml:space="preserve"> argue that sustainability is all about the ability to preserve firms little funds for both current and future generations. They </w:t>
      </w:r>
      <w:bookmarkStart w:id="1" w:name="_Hlk99279387"/>
      <w:r w:rsidRPr="00190F7C">
        <w:t>added that sustainability is a sister concept of corporate sustainability reporting (CSR</w:t>
      </w:r>
      <w:bookmarkEnd w:id="1"/>
      <w:r w:rsidRPr="00190F7C">
        <w:t xml:space="preserve">). Global reporting initiative (GRI) is the most widely adopted framework for CSI among big firms in over 100 nations (KPMG, 2020; </w:t>
      </w:r>
      <w:proofErr w:type="spellStart"/>
      <w:r w:rsidRPr="00190F7C">
        <w:t>Halkos</w:t>
      </w:r>
      <w:proofErr w:type="spellEnd"/>
      <w:r w:rsidRPr="00190F7C">
        <w:t xml:space="preserve"> &amp; Nomikos, 2021). GRI is an independent international organization responsible for the Global Sustainability Standards Board (GSSB), and its guiding principle, known as ‘G4 Guidelines’, aim to support organizations in enhancing their clarity and transparency in reporting the constructive and adverse effects on sustainable growth. Beside the GRI, there are other major sustainability frameworks that were used in the prior studies, such as the basic framework for connecting predictable knowledge and universal feeling from the perception of economy, society and environment </w:t>
      </w:r>
      <w:r w:rsidRPr="00190F7C">
        <w:fldChar w:fldCharType="begin"/>
      </w:r>
      <w:r w:rsidRPr="00190F7C">
        <w:instrText>ADDIN CSL_CITATION {"citationItems":[{"id":"ITEM-1","itemData":{"DOI":"10.1049/enc2.12017","ISSN":"2634-1581","abstract":"Abstract Human society is experiencing a rapidly changing environment in which energy shortages and an ongoing climate crisis have been identified as two of the major challenges to the sustainable development of human civilization. In the face of these challenges, the concept of a smart city is proposed which aims at achieving sustainable development, increasing the quality of life, and improving the cost-effectiveness of existing and new energy infrastructures. To this end, this study proposes a general framework with a three-tier story chart for guiding the establishment of sustainability assessment models and the selection of their indicators. In addition, a quantitative analysis method is developed for assessing the sustainability of energy infrastructures in a smart city, which indicates how the long-term sustainability of the energy infrastructure can be achieved. The proposed method incorporates extensive environmental, economic, and social indicators, which go beyond conventional facility-level criteria and seamlessly relate to the broader community that benefits from the renewable energy transition (including energy construction, operations, and energy services). The proposed methodologies can be implemented through collecting the corresponding history data of the indicators and following the analysis procedures presented in this study. The proposed methodology can serve as a supporting tool for decision-making on new infrastructure investment and policymaking toward sustainable development. Case studies in Western Sydney were carried out to demonstrate the feasibility and efficiency of the proposed methodologies.","author":[{"dropping-particle":"","family":"Yang","given":"Jiajia","non-dropping-particle":"","parse-names":false,"suffix":""},{"dropping-particle":"","family":"Liu","given":"Hangyue","non-dropping-particle":"","parse-names":false,"suffix":""},{"dropping-particle":"","family":"Wang","given":"Yuxuan","non-dropping-particle":"","parse-names":false,"suffix":""},{"dropping-particle":"","family":"Qiu","given":"Zihang","non-dropping-particle":"","parse-names":false,"suffix":""},{"dropping-particle":"","family":"Dong","given":"Zhaoyang","non-dropping-particle":"","parse-names":false,"suffix":""},{"dropping-particle":"","family":"Suzuki","given":"Tadashi","non-dropping-particle":"","parse-names":false,"suffix":""},{"dropping-particle":"","family":"Noguchi","given":"Toshihide","non-dropping-particle":"","parse-names":false,"suffix":""},{"dropping-particle":"","family":"Watabe","given":"Masaharu","non-dropping-particle":"","parse-names":false,"suffix":""}],"container-title":"Energy Conversion and Economics","id":"ITEM-1","issue":"3","issued":{"date-parts":[["2020"]]},"page":"221-237","title":"Key index framework for quantitative sustainability assessment of energy infrastructures in a smart city: An example of Western Sydney","type":"article-journal","volume":"1"},"uris":["http://www.mendeley.com/documents/?uuid=99518601-7541-49f7-8137-fe7e811fdb96"]}],"mendeley":{"formattedCitation":"(Yang et al., 2020)","manualFormatting":"(Yang et al., 2020)","plainTextFormattedCitation":"(Yang et al., 2020)","previouslyFormattedCitation":"(Yang et al., 2020)"},"properties":{"noteIndex":0},"schema":"https://github.com/citation-style-language/schema/raw/master/csl-citation.json"}</w:instrText>
      </w:r>
      <w:r w:rsidRPr="00190F7C">
        <w:fldChar w:fldCharType="separate"/>
      </w:r>
      <w:r w:rsidRPr="00190F7C">
        <w:t>(Yang et al., 2020)</w:t>
      </w:r>
      <w:r w:rsidRPr="00190F7C">
        <w:fldChar w:fldCharType="end"/>
      </w:r>
      <w:r w:rsidRPr="00190F7C">
        <w:t>.  Thus, this study adapted the GRI guidelines framework because of its comprehensiveness as it encompasses economic, social, environmental, and governance indices in explaining the extent of CSI.</w:t>
      </w:r>
    </w:p>
    <w:p w14:paraId="2B8AB7C3" w14:textId="77777777" w:rsidR="00B13712" w:rsidRPr="00190F7C" w:rsidRDefault="00B13712" w:rsidP="002B30EF">
      <w:pPr>
        <w:jc w:val="both"/>
      </w:pPr>
    </w:p>
    <w:p w14:paraId="7D6E26B0" w14:textId="1F222C82" w:rsidR="00610A6D" w:rsidRDefault="00B13712" w:rsidP="002B30EF">
      <w:pPr>
        <w:ind w:firstLine="284"/>
        <w:jc w:val="both"/>
      </w:pPr>
      <w:r w:rsidRPr="00190F7C">
        <w:t xml:space="preserve">Corporate sustainability initiative entail mixing sustainable development ideas into the industry's daily acts </w:t>
      </w:r>
      <w:r w:rsidRPr="00190F7C">
        <w:fldChar w:fldCharType="begin"/>
      </w:r>
      <w:r w:rsidRPr="00190F7C">
        <w:instrText>ADDIN CSL_CITATION {"citationItems":[{"id":"ITEM-1","itemData":{"DOI":"https://doi.org/10.31124/advance.22722154.v1","author":[{"dropping-particle":"","family":"KUMO","given":"USMAN AHMED","non-dropping-particle":"","parse-names":false,"suffix":""}],"container-title":"SAGE Publications.","id":"ITEM-1","issued":{"date-parts":[["2023"]]},"page":"1-20","title":"Corporate Governance Attributes and Firm-specific Features as Determinants of Sustainability Initiatives of Listed Financial and Non-financial Companies in Nigeria","type":"article-journal"},"uris":["http://www.mendeley.com/documents/?uuid=669e76c7-856f-446c-add7-e8e6cd34dd0a"]}],"mendeley":{"formattedCitation":"(KUMO, 2023)","manualFormatting":"(Kumo, 2023)","plainTextFormattedCitation":"(KUMO, 2023)","previouslyFormattedCitation":"(KUMO, 2023)"},"properties":{"noteIndex":0},"schema":"https://github.com/citation-style-language/schema/raw/master/csl-citation.json"}</w:instrText>
      </w:r>
      <w:r w:rsidRPr="00190F7C">
        <w:fldChar w:fldCharType="separate"/>
      </w:r>
      <w:r w:rsidRPr="00190F7C">
        <w:t>(Kumo, 2023)</w:t>
      </w:r>
      <w:r w:rsidRPr="00190F7C">
        <w:fldChar w:fldCharType="end"/>
      </w:r>
      <w:r w:rsidRPr="00190F7C">
        <w:t xml:space="preserve">. These ideas include inspiring social justice, rising economic efficacy, and improving environmental concert. Initiatives to encourage business sustainability have been created, as confirmed by the Sustainability Reporting Guidelines, the Global Reporting Initiatives, ISO 14001, and the United Nations Global Compact (UNGC), which regulates environmental management </w:t>
      </w:r>
      <w:bookmarkStart w:id="2" w:name="_Hlk133660320"/>
      <w:r w:rsidRPr="00190F7C">
        <w:fldChar w:fldCharType="begin"/>
      </w:r>
      <w:r w:rsidRPr="00190F7C">
        <w:instrText>ADDIN CSL_CITATION {"citationItems":[{"id":"ITEM-1","itemData":{"DOI":"10.3390/su15043799","ISSN":"20711050","abstract":"This paper aims to examine the determinants of sustainability disclosure quality among plantation companies in Malaysia. Data analysis is based on all 44 listed plantation companies on Bursa Malaysia between 2016 and 2018. The study utilizes a content analysis adapted from the Global Reporting Initiative (GRI)—G4 guideline, Sustainability Accounting Standard Board guidelines, and Bursa Malaysia Guidelines 2018, to measure sustainability disclosure quality (SDQ). Results from ordinary least squares (OLS) regression analysis corrected for standard errors indicate that shariah-compliant status and internal mechanisms (board size, the presence of women directors, the existence of sustainability committees, and CEOs with business knowledge) significantly improve SDQ. Firm size, firm age, leverage, growth, and Big 4 auditors also significantly improve SDQ. The study provides useful insights into the importance of women directors and the presence of sustainability committees towards SDQ. This study contributes to the discussion that internal mechanisms (board size, independent boards, women directors, sustainability committees) and firm characteristics (shariah compliant, family ownership, CEO ownership, foreign ownership) can increase sustainability reporting and disclosure quality. The measurement of SDQ is novel in Malaysian context even though the methodology is often used in the literature.","author":[{"dropping-particle":"","family":"Abdul Latif","given":"Rohaida","non-dropping-particle":"","parse-names":false,"suffix":""},{"dropping-particle":"","family":"Taufil Mohd","given":"Kamarun Nisham","non-dropping-particle":"","parse-names":false,"suffix":""},{"dropping-particle":"","family":"Kamardin","given":"Hasnah","non-dropping-particle":"","parse-names":false,"suffix":""},{"dropping-particle":"","family":"Mohd Ariff","given":"Arifatul Husna","non-dropping-particle":"","parse-names":false,"suffix":""}],"container-title":"Sustainability (Switzerland)","id":"ITEM-1","issue":"4","issued":{"date-parts":[["2023"]]},"page":"1-23","title":"Determinants of Sustainability Disclosure Quality among Plantation Companies in Malaysia","type":"article-journal","volume":"15"},"uris":["http://www.mendeley.com/documents/?uuid=0de894fd-2ee3-4000-9bc2-e9773588bd7a"]}],"mendeley":{"formattedCitation":"(Abdul Latif et al., 2023)","manualFormatting":"(Kumo, 2023; Abdul Latif et al., 2023)","plainTextFormattedCitation":"(Abdul Latif et al., 2023)","previouslyFormattedCitation":"(Abdul Latif et al., 2023)"},"properties":{"noteIndex":0},"schema":"https://github.com/citation-style-language/schema/raw/master/csl-citation.json"}</w:instrText>
      </w:r>
      <w:r w:rsidRPr="00190F7C">
        <w:fldChar w:fldCharType="separate"/>
      </w:r>
      <w:r w:rsidRPr="00190F7C">
        <w:t xml:space="preserve">(Abdul Latif et al., 2023; </w:t>
      </w:r>
      <w:r w:rsidRPr="00190F7C">
        <w:fldChar w:fldCharType="begin"/>
      </w:r>
      <w:r w:rsidRPr="00190F7C">
        <w:instrText>ADDIN CSL_CITATION {"citationItems":[{"id":"ITEM-1","itemData":{"DOI":"https://doi.org/10.31124/advance.22722154.v1","author":[{"dropping-particle":"","family":"KUMO","given":"USMAN AHMED","non-dropping-particle":"","parse-names":false,"suffix":""}],"container-title":"SAGE Publications.","id":"ITEM-1","issued":{"date-parts":[["2023"]]},"page":"1-20","title":"Corporate Governance Attributes and Firm-specific Features as Determinants of Sustainability Initiatives of Listed Financial and Non-financial Companies in Nigeria","type":"article-journal"},"uris":["http://www.mendeley.com/documents/?uuid=669e76c7-856f-446c-add7-e8e6cd34dd0a"]}],"mendeley":{"formattedCitation":"(KUMO, 2023)","manualFormatting":"Kumo, 2023","plainTextFormattedCitation":"(KUMO, 2023)","previouslyFormattedCitation":"(KUMO, 2023)"},"properties":{"noteIndex":0},"schema":"https://github.com/citation-style-language/schema/raw/master/csl-citation.json"}</w:instrText>
      </w:r>
      <w:r w:rsidRPr="00190F7C">
        <w:fldChar w:fldCharType="separate"/>
      </w:r>
      <w:r w:rsidRPr="00190F7C">
        <w:t>Kumo, 2023</w:t>
      </w:r>
      <w:r w:rsidRPr="00190F7C">
        <w:fldChar w:fldCharType="end"/>
      </w:r>
      <w:r w:rsidRPr="00190F7C">
        <w:t>)</w:t>
      </w:r>
      <w:r w:rsidRPr="00190F7C">
        <w:fldChar w:fldCharType="end"/>
      </w:r>
      <w:r w:rsidRPr="00190F7C">
        <w:t>.</w:t>
      </w:r>
      <w:bookmarkEnd w:id="2"/>
      <w:r w:rsidRPr="00190F7C">
        <w:t xml:space="preserve"> Hitherto, attaining a sustainable balance amongst economic, social, and environmental performance at the business level is really inspiring </w:t>
      </w:r>
      <w:r w:rsidRPr="00190F7C">
        <w:fldChar w:fldCharType="begin"/>
      </w:r>
      <w:r w:rsidRPr="00190F7C">
        <w:instrText>ADDIN CSL_CITATION {"citationItems":[{"id":"ITEM-1","itemData":{"DOI":"10.1016/j.jclepro.2020.124284","ISSN":"09596526","abstract":"The discourse of corporate sustainability performance (CSP) has created an increasing motivation for companies to improve their competitive advantage. This study examines the drivers leading to a high level of CSP within non-financial Turkish companies listed in the Borsa Istanbul Sustainability Index. Drawing on both stakeholder and agency theories, we formulate a set of hypotheses that link CSP with ownership structure, board diversity, and firm-specific characteristics. Based on logit and probit models, the empirical results tend to confirm the positive influence of foreign and institutional ownerships in shaping CSP and indicate that CSP is positively linked with board size and the proportion of independent board members. Further, the findings show that companies with a leading level of CSP have a lower return than companies with mediocre CSP based on a market-based measure, Tobin's Q.","author":[{"dropping-particle":"","family":"Aksoy","given":"Mine","non-dropping-particle":"","parse-names":false,"suffix":""},{"dropping-particle":"","family":"Yilmaz","given":"Mustafa K.","non-dropping-particle":"","parse-names":false,"suffix":""},{"dropping-particle":"","family":"Tatoglu","given":"Ekrem","non-dropping-particle":"","parse-names":false,"suffix":""},{"dropping-particle":"","family":"Basar","given":"Merve","non-dropping-particle":"","parse-names":false,"suffix":""}],"container-title":"Journal of Cleaner Production","id":"ITEM-1","issued":{"date-parts":[["2020"]]},"page":"124284","publisher":"Elsevier Ltd","title":"Antecedents of corporate sustainability performance in Turkey: The effects of ownership structure and board attributes on non-financial companies","type":"article-journal","volume":"276"},"uris":["http://www.mendeley.com/documents/?uuid=22bdc837-fd03-4854-8c6b-7b876bebc131"]}],"mendeley":{"formattedCitation":"(Aksoy et al., 2020)","manualFormatting":"(","plainTextFormattedCitation":"(Aksoy et al., 2020)","previouslyFormattedCitation":"(Aksoy et al., 2020)"},"properties":{"noteIndex":0},"schema":"https://github.com/citation-style-language/schema/raw/master/csl-citation.json"}</w:instrText>
      </w:r>
      <w:r w:rsidRPr="00190F7C">
        <w:fldChar w:fldCharType="separate"/>
      </w:r>
      <w:r w:rsidRPr="00190F7C">
        <w:t>(</w:t>
      </w:r>
      <w:r w:rsidRPr="00190F7C">
        <w:fldChar w:fldCharType="end"/>
      </w:r>
      <w:r w:rsidRPr="00190F7C">
        <w:fldChar w:fldCharType="begin"/>
      </w:r>
      <w:r w:rsidRPr="00190F7C">
        <w:instrText>ADDIN CSL_CITATION {"citationItems":[{"id":"ITEM-1","itemData":{"DOI":"10.26668/businessreview/2023.v8i7.2648","ISSN":"2525-3654","abstract":"Purpose: This study aimed to introduce a moderator to strengthen the relationship between institutional factors and corporate managers’ immersion as governance attributes toward firms’ sustainability initiatives. Theoretical framework: A proposed model based on the developed hypothesis was formulated based on empirical and theoretical facts to support the concepts of institutional and legitimacy theories. Design/methodology/approach: The research uses a quantitative method that examines the quoted companies rated and ranked by Nigeria’s World CSR Consensus rating, including all Financial and Non-Financial sectors. It also assesses the companies’ roles in encouraging friendly environmental practices. Findings: The consequence of this report shows that Just 26 corporations have occupied a position on corporate social responsibility (CSR) initiatives, with Access Bank having the highest significant value of 99% and UAC Nigeria Plc having the lowest value of 1%. Additionally, only 90 out of 156 Nigeria’s publicly traded firms have been assessed and recognized by CSRHUB, having the lowest percentage. Research, Practical &amp; Social implications: since there are no standard ways of enhancing the institutional factors and corporate managers’ immersion rapport to add to the body of knowledge, Environmental Policy is proposed and recommended as essential in shaping future planning and sustainability practices. Originality/value: To strengthen and increase the sustainability practices success of these firms, they must pay more attention to the environmental policies and the factors that influence them. Further studies might consider improving the research by analyzing the variables in the proposed model based on the hypothesis formulated and the time-variant.","author":[{"dropping-particle":"","family":"Kumo","given":"Usman Ahmed","non-dropping-particle":"","parse-names":false,"suffix":""},{"dropping-particle":"","family":"Hamid","given":"Fathilatul Zakimi Abdul","non-dropping-particle":"","parse-names":false,"suffix":""},{"dropping-particle":"","family":"Sahdan","given":"Mohd Hadafi","non-dropping-particle":"","parse-names":false,"suffix":""}],"container-title":"International Journal of Professional Business Review","id":"ITEM-1","issue":"7","issued":{"date-parts":[["2023","7","10"]]},"page":"e02648","title":"The Role of Environmental Policy in Influencing Governance and Sustainability Practices Among Nigerian Quoted Companies: A Proposed Framework","type":"article-journal","volume":"8"},"uris":["http://www.mendeley.com/documents/?uuid=ac60f85b-98c4-4c01-894e-709559b2c6fa"]}],"mendeley":{"formattedCitation":"(Kumo et al., 2023)","manualFormatting":"Kumo et al., 2023; Aksoy et al., 2020)","plainTextFormattedCitation":"(Kumo et al., 2023)","previouslyFormattedCitation":"(Kumo et al., 2023)"},"properties":{"noteIndex":0},"schema":"https://github.com/citation-style-language/schema/raw/master/csl-citation.json"}</w:instrText>
      </w:r>
      <w:r w:rsidRPr="00190F7C">
        <w:fldChar w:fldCharType="separate"/>
      </w:r>
      <w:r w:rsidRPr="00190F7C">
        <w:t>Aksoy et al., 2020; Kumo et al., 2023)</w:t>
      </w:r>
      <w:r w:rsidRPr="00190F7C">
        <w:fldChar w:fldCharType="end"/>
      </w:r>
      <w:r w:rsidRPr="00190F7C">
        <w:t>.</w:t>
      </w:r>
    </w:p>
    <w:p w14:paraId="4052C6A7" w14:textId="77777777" w:rsidR="0080532E" w:rsidRDefault="0080532E" w:rsidP="002B30EF">
      <w:pPr>
        <w:ind w:firstLine="284"/>
        <w:jc w:val="both"/>
      </w:pPr>
    </w:p>
    <w:p w14:paraId="2B1A9851" w14:textId="77777777" w:rsidR="00B13712" w:rsidRPr="00190F7C" w:rsidRDefault="00B13712" w:rsidP="002B30EF">
      <w:pPr>
        <w:ind w:firstLine="284"/>
        <w:jc w:val="both"/>
        <w:rPr>
          <w:lang w:val="en-US"/>
        </w:rPr>
      </w:pPr>
      <w:r w:rsidRPr="00190F7C">
        <w:rPr>
          <w:lang w:val="en-US"/>
        </w:rPr>
        <w:t xml:space="preserve">As institutional theory implies, initiating the CSI depends on several organizational dynamic forces such as normative, regulative, and cognitive forces linked to the limited context in which the society is rooted (Simoni et al., 2020). These drivers have been clustered mainly into three captions, i.e., coercive, normative, and mimetic pressures </w:t>
      </w:r>
      <w:r w:rsidRPr="00190F7C">
        <w:rPr>
          <w:lang w:val="en-US"/>
        </w:rPr>
        <w:fldChar w:fldCharType="begin"/>
      </w:r>
      <w:r w:rsidRPr="00190F7C">
        <w:rPr>
          <w:lang w:val="en-US"/>
        </w:rPr>
        <w:instrText>ADDIN CSL_CITATION {"citationItems":[{"id":"ITEM-1","itemData":{"author":[{"dropping-particle":"","family":"Latif","given":"Badar","non-dropping-particle":"","parse-names":false,"suffix":""},{"dropping-particle":"","family":"Mahmood","given":"Zeeshan","non-dropping-particle":"","parse-names":false,"suffix":""},{"dropping-particle":"","family":"San","given":"Ong Tze","non-dropping-particle":"","parse-names":false,"suffix":""},{"dropping-particle":"","family":"Said","given":"Ridzwana Mohd","non-dropping-particle":"","parse-names":false,"suffix":""}],"id":"ITEM-1","issued":{"date-parts":[["2020"]]},"title":"Coercive , Normative and Mimetic Pressures as Drivers of Environmental Management Accounting Adoption","type":"article-journal"},"uris":["http://www.mendeley.com/documents/?uuid=da4ac3c8-1c7f-4621-9a1e-12931d1815f0"]}],"mendeley":{"formattedCitation":"(Latif et al., 2020)","manualFormatting":"(Latif et al., 2020)","plainTextFormattedCitation":"(Latif et al., 2020)","previouslyFormattedCitation":"(Latif et al., 2020)"},"properties":{"noteIndex":0},"schema":"https://github.com/citation-style-language/schema/raw/master/csl-citation.json"}</w:instrText>
      </w:r>
      <w:r w:rsidRPr="00190F7C">
        <w:rPr>
          <w:lang w:val="en-US"/>
        </w:rPr>
        <w:fldChar w:fldCharType="separate"/>
      </w:r>
      <w:r w:rsidRPr="00190F7C">
        <w:rPr>
          <w:lang w:val="en-US"/>
        </w:rPr>
        <w:t>(Abdul Latif et al., 2020)</w:t>
      </w:r>
      <w:r w:rsidRPr="00190F7C">
        <w:fldChar w:fldCharType="end"/>
      </w:r>
      <w:r w:rsidRPr="00190F7C">
        <w:rPr>
          <w:lang w:val="en-US"/>
        </w:rPr>
        <w:t>. Accordingly, Abdul Latif et al. (2020) posit that</w:t>
      </w:r>
      <w:r w:rsidRPr="00190F7C">
        <w:t xml:space="preserve"> rising on businesses to retort to calls and act more sustainably, resulting in firms granting due consideration to social and environmental deliberations in their decision-making. </w:t>
      </w:r>
      <w:r w:rsidRPr="00190F7C">
        <w:rPr>
          <w:lang w:val="en-US"/>
        </w:rPr>
        <w:t xml:space="preserve">Coercive pressures have been daunting in leading corporations to implement initiative initiatives </w:t>
      </w:r>
      <w:r w:rsidRPr="00190F7C">
        <w:rPr>
          <w:lang w:val="en-US"/>
        </w:rPr>
        <w:fldChar w:fldCharType="begin"/>
      </w:r>
      <w:r w:rsidRPr="00190F7C">
        <w:rPr>
          <w:lang w:val="en-US"/>
        </w:rPr>
        <w:instrText>ADDIN CSL_CITATION {"citationItems":[{"id":"ITEM-1","itemData":{"author":[{"dropping-particle":"","family":"Kingsley","given":"G. Thomas","non-dropping-particle":"","parse-names":false,"suffix":""},{"dropping-particle":"","family":"Pettit","given":"Kathryn LS","non-dropping-particle":"","parse-names":false,"suffix":""},{"dropping-particle":"","family":"Hendey","given":"Leah","non-dropping-particle":"","parse-names":false,"suffix":""}],"id":"ITEM-1","issue":"June","issued":{"date-parts":[["2013"]]},"title":"Strengthening Local Capacity For Data-Driven Decisionmaking","type":"article-journal"},"uris":["http://www.mendeley.com/documents/?uuid=825edf06-e18c-4270-aea0-9d00b27d606d"]}],"mendeley":{"formattedCitation":"(Kingsley et al., 2013)","manualFormatting":"(Kumo et al., 2023; Kingsley et al., 2013)","plainTextFormattedCitation":"(Kingsley et al., 2013)","previouslyFormattedCitation":"(Kingsley et al., 2013)"},"properties":{"noteIndex":0},"schema":"https://github.com/citation-style-language/schema/raw/master/csl-citation.json"}</w:instrText>
      </w:r>
      <w:r w:rsidRPr="00190F7C">
        <w:rPr>
          <w:lang w:val="en-US"/>
        </w:rPr>
        <w:fldChar w:fldCharType="separate"/>
      </w:r>
      <w:r w:rsidRPr="00190F7C">
        <w:rPr>
          <w:lang w:val="en-US"/>
        </w:rPr>
        <w:t>( Kingsley et al., 2013; Kumo et al., 2023)</w:t>
      </w:r>
      <w:r w:rsidRPr="00190F7C">
        <w:fldChar w:fldCharType="end"/>
      </w:r>
      <w:r w:rsidRPr="00190F7C">
        <w:rPr>
          <w:lang w:val="en-US"/>
        </w:rPr>
        <w:t>. In line with the above, the NSE regulations and CBN Laws relating to SI are coercive pressure instruments influencing firms' initiatives.</w:t>
      </w:r>
    </w:p>
    <w:p w14:paraId="36523291" w14:textId="77777777" w:rsidR="00B13712" w:rsidRPr="00190F7C" w:rsidRDefault="00B13712" w:rsidP="002B30EF">
      <w:pPr>
        <w:ind w:firstLine="284"/>
        <w:jc w:val="both"/>
        <w:rPr>
          <w:lang w:val="en-US"/>
        </w:rPr>
      </w:pPr>
    </w:p>
    <w:p w14:paraId="0A6AC809" w14:textId="77777777" w:rsidR="00B13712" w:rsidRPr="00190F7C" w:rsidRDefault="00B13712" w:rsidP="002B30EF">
      <w:pPr>
        <w:ind w:firstLine="284"/>
        <w:jc w:val="both"/>
        <w:rPr>
          <w:lang w:val="en-US"/>
        </w:rPr>
      </w:pPr>
      <w:r w:rsidRPr="00190F7C">
        <w:rPr>
          <w:lang w:val="en-US"/>
        </w:rPr>
        <w:t xml:space="preserve">Similarly, normative pressures ascend through the impact of proficient networks that provide room for precise initiatives. Examples of such forces could emanate through accounting firms, regulatory bodies that develop codes of conduct for CSI, and proficient accounting links (Abdul Latif et al., 2020; Jalaludin et al., 2011; Kumo et al., 2023). Mimetic pressures can ascend, for instance mimetic pressures might originate from lifting best initiatives of those professional establishments alleged as successful </w:t>
      </w:r>
      <w:r w:rsidRPr="00190F7C">
        <w:rPr>
          <w:lang w:val="en-US"/>
        </w:rPr>
        <w:fldChar w:fldCharType="begin"/>
      </w:r>
      <w:r w:rsidRPr="00190F7C">
        <w:rPr>
          <w:lang w:val="en-US"/>
        </w:rPr>
        <w:instrText>ADDIN CSL_CITATION {"citationItems":[{"id":"ITEM-1","itemData":{"author":[{"dropping-particle":"","family":"Latif","given":"Badar","non-dropping-particle":"","parse-names":false,"suffix":""},{"dropping-particle":"","family":"Mahmood","given":"Zeeshan","non-dropping-particle":"","parse-names":false,"suffix":""},{"dropping-particle":"","family":"San","given":"Ong Tze","non-dropping-particle":"","parse-names":false,"suffix":""},{"dropping-particle":"","family":"Said","given":"Ridzwana Mohd","non-dropping-particle":"","parse-names":false,"suffix":""}],"id":"ITEM-1","issued":{"date-parts":[["2020"]]},"title":"Coercive , Normative and Mimetic Pressures as Drivers of Environmental Management Accounting Adoption","type":"article-journal"},"uris":["http://www.mendeley.com/documents/?uuid=da4ac3c8-1c7f-4621-9a1e-12931d1815f0"]}],"mendeley":{"formattedCitation":"(Latif et al., 2020)","manualFormatting":"(Latif et al., 2020;","plainTextFormattedCitation":"(Latif et al., 2020)","previouslyFormattedCitation":"(Latif et al., 2020)"},"properties":{"noteIndex":0},"schema":"https://github.com/citation-style-language/schema/raw/master/csl-citation.json"}</w:instrText>
      </w:r>
      <w:r w:rsidRPr="00190F7C">
        <w:rPr>
          <w:lang w:val="en-US"/>
        </w:rPr>
        <w:fldChar w:fldCharType="separate"/>
      </w:r>
      <w:r w:rsidRPr="00190F7C">
        <w:rPr>
          <w:lang w:val="en-US"/>
        </w:rPr>
        <w:t>(Abdul Latif et al., 2020;</w:t>
      </w:r>
      <w:r w:rsidRPr="00190F7C">
        <w:rPr>
          <w:lang w:val="en-US"/>
        </w:rPr>
        <w:fldChar w:fldCharType="end"/>
      </w:r>
      <w:r w:rsidRPr="00190F7C">
        <w:rPr>
          <w:lang w:val="en-US"/>
        </w:rPr>
        <w:t xml:space="preserve"> </w:t>
      </w:r>
      <w:r w:rsidRPr="00190F7C">
        <w:rPr>
          <w:lang w:val="en-US"/>
        </w:rPr>
        <w:fldChar w:fldCharType="begin"/>
      </w:r>
      <w:r w:rsidRPr="00190F7C">
        <w:rPr>
          <w:lang w:val="en-US"/>
        </w:rPr>
        <w:instrText>ADDIN CSL_CITATION {"citationItems":[{"id":"ITEM-1","itemData":{"abstract":"This study looks into the association between corporate characteristics and corporate social responsibility disclosure (CSRD) in annual reports of listed companies in Bangladesh. Seventy annual reports of nonfinancial companies for the year 2010 have been taken as sample to find the empirical result of this study. The study reports that the mean score of CSRD is five and 75 percent companies disclose 7 items voluntarily which is 20 percent of total disclose-able items. So, companies in general have not responded enough to disclose CSR items in the annual reports. The explanatory variables total assets, profitability, MNC affiliation and listing age are insignificant factors for CSRD while market capitalization has statistically significant effect on CSRD. It is expected that the usefulness of this research work will be acknowledged by potential and present investors, stakeholders, policy makers, and regulatory bodies of the country.","author":[{"dropping-particle":"","family":"Sufian","given":"Mohammad Abu","non-dropping-particle":"","parse-names":false,"suffix":""}],"container-title":"Global Journal of Management and Business Research","id":"ITEM-1","issue":"14","issued":{"date-parts":[["2012"]]},"page":"149-153","title":"Corporate social responsibility disclosure in Bangladesh.","type":"article-journal","volume":"12"},"uris":["http://www.mendeley.com/documents/?uuid=85fca643-f9ce-4d4d-914e-40e9229d22cf"]}],"mendeley":{"formattedCitation":"(Sufian, 2012)","manualFormatting":"Sufian, 2012)","plainTextFormattedCitation":"(Sufian, 2012)","previouslyFormattedCitation":"(Sufian, 2012)"},"properties":{"noteIndex":0},"schema":"https://github.com/citation-style-language/schema/raw/master/csl-citation.json"}</w:instrText>
      </w:r>
      <w:r w:rsidRPr="00190F7C">
        <w:rPr>
          <w:lang w:val="en-US"/>
        </w:rPr>
        <w:fldChar w:fldCharType="separate"/>
      </w:r>
      <w:r w:rsidRPr="00190F7C">
        <w:rPr>
          <w:lang w:val="en-US"/>
        </w:rPr>
        <w:t>Sufian, 2012)</w:t>
      </w:r>
      <w:r w:rsidRPr="00190F7C">
        <w:rPr>
          <w:lang w:val="en-US"/>
        </w:rPr>
        <w:fldChar w:fldCharType="end"/>
      </w:r>
      <w:r w:rsidRPr="00190F7C">
        <w:rPr>
          <w:lang w:val="en-US"/>
        </w:rPr>
        <w:t xml:space="preserve">. </w:t>
      </w:r>
    </w:p>
    <w:p w14:paraId="3D88AF33" w14:textId="77777777" w:rsidR="00B13712" w:rsidRPr="00CC6A02" w:rsidRDefault="00B13712" w:rsidP="002B30EF">
      <w:pPr>
        <w:ind w:firstLine="284"/>
        <w:jc w:val="both"/>
        <w:rPr>
          <w:sz w:val="19"/>
          <w:szCs w:val="19"/>
          <w:lang w:val="en-US"/>
        </w:rPr>
      </w:pPr>
    </w:p>
    <w:p w14:paraId="48C1DDEE" w14:textId="60C4D9B3" w:rsidR="00B13712" w:rsidRPr="00D40D4E" w:rsidRDefault="00B13712" w:rsidP="00CC6A02">
      <w:pPr>
        <w:ind w:firstLine="284"/>
        <w:jc w:val="both"/>
      </w:pPr>
      <w:r w:rsidRPr="00D40D4E">
        <w:t xml:space="preserve">Institutional theory has even now proven its rationality across diverse fields, leading to a better comprehending of CSI changing aspects, and self-sufficient tactical analysis </w:t>
      </w:r>
      <w:r w:rsidRPr="00D40D4E">
        <w:fldChar w:fldCharType="begin"/>
      </w:r>
      <w:r w:rsidRPr="00D40D4E">
        <w:instrText>ADDIN CSL_CITATION {"citationItems":[{"id":"ITEM-1","itemData":{"DOI":"10.3390/su13063148","ISSN":"20711050","abstract":"Research on the practice of sustainability reporting that is specifically focused on the approach applied by port authorities (or port managing bodies—PMBs) and based on surveys as a data collection method, is very limited. Most research consists of single‐case studies, only partly covers the different dimensions related to the implementation of sustainability reporting, or is based on content analysis. This paper offers a multidimensional approach of the concept of sustainability reporting based on a global survey yielding 97 complete and valid answers of PMBs. A binomial logistic regression has been conducted to identify those organizational characteristics, whether or not under the control of the PMB, that have the largest explanatory power when it comes to the adoption of the practice of sustainability reporting. The research results present new variables com-pared to the findings of previous studies, such as proximity to a city, the history of data gathering, and the presence of environmental/social certifications. Furthermore, this paper also investigates how these organizational characteristics are interlinked with external, contextual forces by making use of Institutional Theory. By combining organizational characteristics with information on the institutional environment in which the PMB operates, a more complete image is obtained. The results of this analysis show that myriad different institutional pressures are in play when it comes to having influence over the decision making of PMBs with regard to the adoption of sustainability reporting. Furthermore, several prominent associations between one of the isomorphisms and certain organizational characteristics can be observed.","author":[{"dropping-particle":"","family":"Geerts","given":"Magali","non-dropping-particle":"","parse-names":false,"suffix":""},{"dropping-particle":"","family":"Dooms","given":"Michaël","non-dropping-particle":"","parse-names":false,"suffix":""},{"dropping-particle":"","family":"Stas","given":"Lara","non-dropping-particle":"","parse-names":false,"suffix":""}],"container-title":"Sustainability (Switzerland)","id":"ITEM-1","issue":"6","issued":{"date-parts":[["2021"]]},"title":"Determinants of sustainability reporting in the present institutional context: The case of port managing bodies","type":"article-journal","volume":"13"},"uris":["http://www.mendeley.com/documents/?uuid=9852b9d5-d25d-422c-8f86-a4b31d54ff2c"]}],"mendeley":{"formattedCitation":"(Geerts et al., 2021)","manualFormatting":"(Geerts et al., 2021","plainTextFormattedCitation":"(Geerts et al., 2021)","previouslyFormattedCitation":"(Geerts et al., 2021)"},"properties":{"noteIndex":0},"schema":"https://github.com/citation-style-language/schema/raw/master/csl-citation.json"}</w:instrText>
      </w:r>
      <w:r w:rsidRPr="00D40D4E">
        <w:fldChar w:fldCharType="separate"/>
      </w:r>
      <w:r w:rsidRPr="00D40D4E">
        <w:t>(Geerts et al., 2021</w:t>
      </w:r>
      <w:r w:rsidRPr="00D40D4E">
        <w:fldChar w:fldCharType="end"/>
      </w:r>
      <w:r w:rsidRPr="00D40D4E">
        <w:t xml:space="preserve">; </w:t>
      </w:r>
      <w:r w:rsidRPr="00D40D4E">
        <w:fldChar w:fldCharType="begin"/>
      </w:r>
      <w:r w:rsidRPr="00D40D4E">
        <w:instrText>ADDIN CSL_CITATION {"citationItems":[{"id":"ITEM-1","itemData":{"DOI":"10.5772/intechopen.76951","ISBN":"0000957720","ISSN":"17187729","PMID":"30111972","abstract":"This study analyzes the perspectives of the institutional theory, the legitimacy theory, and the stakeholders’ theory in the accounting changing process and sustainability reports. The objective is to explore how these theories are used in corporate social responsibility (CSR) disclosure. Through this analysis, it is provided a better theoretical understanding of these theories, which support and promote research on accounting and sustainability reporting. This chapter analyzes each theory and the relationship between them. We conclude that, although the legitimacy theory is the dominant theory used in accounting and sustainability reporting studies, it is related to the other theories. The selection and application will depend on the study focus.","author":[{"dropping-particle":"","family":"Tavares","given":"Maria da Conceição da Costa","non-dropping-particle":"","parse-names":false,"suffix":""},{"dropping-particle":"","family":"Dias","given":"Alcina Portugal","non-dropping-particle":"","parse-names":false,"suffix":""}],"container-title":"Accounting from a Cross-Cultural Perspective","id":"ITEM-1","issue":"tourism","issued":{"date-parts":[["2018","10","24"]]},"page":"13","publisher":"InTech","title":"Theoretical Perspectives on Sustainability Reporting: A Literature Review","type":"chapter","volume":"11"},"uris":["http://www.mendeley.com/documents/?uuid=e2c76a5f-dda8-4e93-a41a-bb116488f59e"]}],"mendeley":{"formattedCitation":"(Tavares &amp; Dias, 2018)","manualFormatting":"Tavares &amp; Dias, 2018)","plainTextFormattedCitation":"(Tavares &amp; Dias, 2018)","previouslyFormattedCitation":"(Tavares &amp; Dias, 2018)"},"properties":{"noteIndex":0},"schema":"https://github.com/citation-style-language/schema/raw/master/csl-citation.json"}</w:instrText>
      </w:r>
      <w:r w:rsidRPr="00D40D4E">
        <w:fldChar w:fldCharType="separate"/>
      </w:r>
      <w:r w:rsidRPr="00D40D4E">
        <w:t>Tavares &amp; Dias, 2018)</w:t>
      </w:r>
      <w:r w:rsidRPr="00D40D4E">
        <w:fldChar w:fldCharType="end"/>
      </w:r>
      <w:r w:rsidRPr="00D40D4E">
        <w:t>. However, companies may selectively portray themselves in a favourable light within their specific institutional settings. Hence, increasing evidence suggests that corporate sustainability is absurd, as businesses must simultaneously comprehend environmental, social, and economic goals (Luo et al., 2020).</w:t>
      </w:r>
    </w:p>
    <w:p w14:paraId="12810C36" w14:textId="77777777" w:rsidR="00CC6A02" w:rsidRPr="00D40D4E" w:rsidRDefault="00CC6A02" w:rsidP="00CC6A02">
      <w:pPr>
        <w:ind w:firstLine="284"/>
        <w:jc w:val="both"/>
      </w:pPr>
    </w:p>
    <w:p w14:paraId="528A7653" w14:textId="1B60E04C" w:rsidR="00B13712" w:rsidRPr="00190F7C" w:rsidRDefault="00B13712" w:rsidP="004B0BF5">
      <w:pPr>
        <w:ind w:firstLine="284"/>
        <w:jc w:val="both"/>
      </w:pPr>
      <w:r w:rsidRPr="00D40D4E">
        <w:t>In this context, further study inclines to address whether institutional factors such as financial constraints (i.e., access to finance), regulation</w:t>
      </w:r>
      <w:r w:rsidRPr="00190F7C">
        <w:t xml:space="preserve">, and enforcement </w:t>
      </w:r>
      <w:r w:rsidRPr="00190F7C">
        <w:fldChar w:fldCharType="begin"/>
      </w:r>
      <w:r w:rsidRPr="00190F7C">
        <w:instrText>ADDIN CSL_CITATION {"citationItems":[{"id":"ITEM-1","itemData":{"ISBN":"978-3-96021-45-0 Printed","abstract":"In order to “make standards work” for small and medium-sized enterprises (SMEs) and sustainable development, the challenges and incentives for SMEs in the up-take of standards need to be better understood. The paper analyses five country case studies in the emerging economies of China, Brazil, India, Indonesia and South Africa in order to 1) identify drivers and constraints for the adoption of social and environmental standards by SMEs and 2) to derive policy considerations of how to promote more sustainable production processes and compliance by SMEs with social and environmental standards.","author":[{"dropping-particle":"","family":"Sommer","given":"Christoph","non-dropping-particle":"","parse-names":false,"suffix":""}],"container-title":"German Development Institute","id":"ITEM-1","issued":{"date-parts":[["2017"]]},"page":"73","title":"Drivers and Constraints for Adopting Sustainability Standards in Small and Medium-sized Enterprises (SMEs)","type":"article-journal"},"uris":["http://www.mendeley.com/documents/?uuid=473888fb-1945-4419-8027-d09852f6f464"]}],"mendeley":{"formattedCitation":"(Sommer, 2017)","plainTextFormattedCitation":"(Sommer, 2017)","previouslyFormattedCitation":"(Sommer, 2017)"},"properties":{"noteIndex":0},"schema":"https://github.com/citation-style-language/schema/raw/master/csl-citation.json"}</w:instrText>
      </w:r>
      <w:r w:rsidRPr="00190F7C">
        <w:fldChar w:fldCharType="separate"/>
      </w:r>
      <w:r w:rsidRPr="00190F7C">
        <w:t>(Sommer, 2017)</w:t>
      </w:r>
      <w:r w:rsidRPr="00190F7C">
        <w:fldChar w:fldCharType="end"/>
      </w:r>
      <w:r w:rsidRPr="00190F7C">
        <w:t xml:space="preserve"> are reliably anxious with sustainability matters and touch the readiness of corporations to resort to developing CSI. A company's long-term viability can be threatened by various factors, including financial constraints (i.e., access to finance), regulation, and enforcement, localization of standards, implementation and certification costs, and awareness of entrepreneurs based on political and business environment pressures (Sommer, 2017; Van et al., 2025).</w:t>
      </w:r>
    </w:p>
    <w:p w14:paraId="40A0155F" w14:textId="77777777" w:rsidR="007832A6" w:rsidRDefault="007832A6" w:rsidP="002B30EF">
      <w:pPr>
        <w:ind w:firstLine="284"/>
        <w:jc w:val="both"/>
      </w:pPr>
    </w:p>
    <w:p w14:paraId="24EA36C1" w14:textId="5D166EA8" w:rsidR="00B13712" w:rsidRPr="00190F7C" w:rsidRDefault="00B13712" w:rsidP="002B30EF">
      <w:pPr>
        <w:ind w:firstLine="284"/>
        <w:jc w:val="both"/>
      </w:pPr>
      <w:r w:rsidRPr="00190F7C">
        <w:t>Besides, not all aspects of regulation and enforcement classes are observed in every country case. While some institutional drivers and constraints are relevant in all study locations, others are specific to certain nations (</w:t>
      </w:r>
      <w:r w:rsidRPr="00190F7C">
        <w:fldChar w:fldCharType="begin"/>
      </w:r>
      <w:r w:rsidRPr="00190F7C">
        <w:instrText>ADDIN CSL_CITATION {"citationItems":[{"id":"ITEM-1","itemData":{"DOI":"https://doi.org/10.31124/advance.22722154.v1","author":[{"dropping-particle":"","family":"KUMO","given":"USMAN AHMED","non-dropping-particle":"","parse-names":false,"suffix":""}],"container-title":"SAGE Publications.","id":"ITEM-1","issued":{"date-parts":[["2023"]]},"page":"1-20","title":"Corporate Governance Attributes and Firm-specific Features as Determinants of Sustainability Initiatives of Listed Financial and Non-financial Companies in Nigeria","type":"article-journal"},"uris":["http://www.mendeley.com/documents/?uuid=669e76c7-856f-446c-add7-e8e6cd34dd0a"]}],"mendeley":{"formattedCitation":"(KUMO, 2023)","manualFormatting":"Kumo, 2023","plainTextFormattedCitation":"(KUMO, 2023)","previouslyFormattedCitation":"(KUMO, 2023)"},"properties":{"noteIndex":0},"schema":"https://github.com/citation-style-language/schema/raw/master/csl-citation.json"}</w:instrText>
      </w:r>
      <w:r w:rsidRPr="00190F7C">
        <w:fldChar w:fldCharType="separate"/>
      </w:r>
      <w:r w:rsidRPr="00190F7C">
        <w:t>Kumo, 2023</w:t>
      </w:r>
      <w:r w:rsidRPr="00190F7C">
        <w:fldChar w:fldCharType="end"/>
      </w:r>
      <w:r w:rsidRPr="00190F7C">
        <w:t xml:space="preserve">). For example, Sommer (2017) covers the incidence of various factors in Brazil, China, India, Indonesia, and South Africa. He observed that standards implementation is basically low in South Africa as several businesses are unmindful of sustainability principles and their conceivable value to the business. He added that most businesses, characterized by low environmental awareness and fierce price competition, serve the local market </w:t>
      </w:r>
      <w:r w:rsidRPr="00190F7C">
        <w:fldChar w:fldCharType="begin"/>
      </w:r>
      <w:r w:rsidRPr="00190F7C">
        <w:instrText>ADDIN CSL_CITATION {"citationItems":[{"id":"ITEM-1","itemData":{"ISBN":"978-3-96021-45-0 Printed","abstract":"In order to “make standards work” for small and medium-sized enterprises (SMEs) and sustainable development, the challenges and incentives for SMEs in the up-take of standards need to be better understood. The paper analyses five country case studies in the emerging economies of China, Brazil, India, Indonesia and South Africa in order to 1) identify drivers and constraints for the adoption of social and environmental standards by SMEs and 2) to derive policy considerations of how to promote more sustainable production processes and compliance by SMEs with social and environmental standards.","author":[{"dropping-particle":"","family":"Sommer","given":"Christoph","non-dropping-particle":"","parse-names":false,"suffix":""}],"container-title":"German Development Institute","id":"ITEM-1","issued":{"date-parts":[["2017"]]},"page":"73","title":"Drivers and Constraints for Adopting Sustainability Standards in Small and Medium-sized Enterprises (SMEs)","type":"article-journal"},"uris":["http://www.mendeley.com/documents/?uuid=473888fb-1945-4419-8027-d09852f6f464"]}],"mendeley":{"formattedCitation":"(Sommer, 2017)","plainTextFormattedCitation":"(Sommer, 2017)","previouslyFormattedCitation":"(Sommer, 2017)"},"properties":{"noteIndex":0},"schema":"https://github.com/citation-style-language/schema/raw/master/csl-citation.json"}</w:instrText>
      </w:r>
      <w:r w:rsidRPr="00190F7C">
        <w:fldChar w:fldCharType="separate"/>
      </w:r>
      <w:r w:rsidRPr="00190F7C">
        <w:t>(Sommer, 2017)</w:t>
      </w:r>
      <w:r w:rsidRPr="00190F7C">
        <w:fldChar w:fldCharType="end"/>
      </w:r>
      <w:r w:rsidRPr="00190F7C">
        <w:t xml:space="preserve">. </w:t>
      </w:r>
    </w:p>
    <w:p w14:paraId="48435378" w14:textId="77777777" w:rsidR="00B13712" w:rsidRPr="00190F7C" w:rsidRDefault="00B13712" w:rsidP="002B30EF">
      <w:pPr>
        <w:ind w:firstLine="284"/>
        <w:jc w:val="both"/>
        <w:rPr>
          <w:lang w:val="en-US"/>
        </w:rPr>
      </w:pPr>
    </w:p>
    <w:p w14:paraId="59E5F5C3" w14:textId="77777777" w:rsidR="00B13712" w:rsidRPr="00190F7C" w:rsidRDefault="00B13712" w:rsidP="002B30EF">
      <w:pPr>
        <w:ind w:firstLine="284"/>
        <w:jc w:val="both"/>
      </w:pPr>
      <w:r w:rsidRPr="00190F7C">
        <w:t xml:space="preserve">According to </w:t>
      </w:r>
      <w:r w:rsidRPr="00190F7C">
        <w:rPr>
          <w:lang w:val="en-MY"/>
        </w:rPr>
        <w:fldChar w:fldCharType="begin"/>
      </w:r>
      <w:r w:rsidRPr="00190F7C">
        <w:instrText>ADDIN CSL_CITATION {"citationItems":[{"id":"ITEM-1","itemData":{"author":[{"dropping-particle":"","family":"Damuri","given":"Y. R.","non-dropping-particle":"","parse-names":false,"suffix":""},{"dropping-particle":"","family":"Santoso","given":"B.","non-dropping-particle":"","parse-names":false,"suffix":""}],"container-title":"Drivers and Constraints for Adopting Sustainability Standards in Small and Medium-sized Enterprises (SMEs) and the Demand for Finance: Case studies from Brazil, China, India, Indonesia and South Africa","id":"ITEM-1","issued":{"date-parts":[["2017"]]},"page":"93-142","title":"Drivers and constraints for adopting sustainability standards in small and medium-sized enterprises (SMEs) and the demand for finance: An Indonesian case study - Google Search","type":"chapter"},"uris":["http://www.mendeley.com/documents/?uuid=e87c3be1-7683-38d1-91e6-7a95ce1dbc3b"]}],"mendeley":{"formattedCitation":"(Damuri &amp; Santoso, 2017)","manualFormatting":"Damuri and Santoso (2017)","plainTextFormattedCitation":"(Damuri &amp; Santoso, 2017)","previouslyFormattedCitation":"(Damuri &amp; Santoso, 2017)"},"properties":{"noteIndex":0},"schema":"https://github.com/citation-style-language/schema/raw/master/csl-citation.json"}</w:instrText>
      </w:r>
      <w:r w:rsidRPr="00190F7C">
        <w:rPr>
          <w:lang w:val="en-MY"/>
        </w:rPr>
        <w:fldChar w:fldCharType="separate"/>
      </w:r>
      <w:r w:rsidRPr="00190F7C">
        <w:t>Damuri and Santoso (2017)</w:t>
      </w:r>
      <w:r w:rsidRPr="00190F7C">
        <w:rPr>
          <w:lang w:val="en-US"/>
        </w:rPr>
        <w:fldChar w:fldCharType="end"/>
      </w:r>
      <w:r w:rsidRPr="00190F7C">
        <w:t xml:space="preserve">, ‘several government programs in Indonesia provide technical assistance and training through various public institutions that primarily target businesses’. They also grant tax reductions and exemptions, for instance, for pollution control equipment and the cost of waste treatment. Also, </w:t>
      </w:r>
      <w:r w:rsidRPr="00190F7C">
        <w:rPr>
          <w:lang w:val="en-MY"/>
        </w:rPr>
        <w:fldChar w:fldCharType="begin"/>
      </w:r>
      <w:r w:rsidRPr="00190F7C">
        <w:instrText>ADDIN CSL_CITATION {"citationItems":[{"id":"ITEM-1","itemData":{"author":[{"dropping-particle":"","family":"Coelho","given":"André Meyer","non-dropping-particle":"","parse-names":false,"suffix":""},{"dropping-particle":"","family":"Nunes","given":"Marcelo De Oliveira","non-dropping-particle":"","parse-names":false,"suffix":""}],"container-title":"Drivers and constraints for adopting sustainability standards in small and medium-sized enterprises (SMEs) and the demand for finance: Case studies from Brazil, China, India, Indonesia and South Africa","id":"ITEM-1","issued":{"date-parts":[["2017"]]},"page":"11-28","title":"Drivers and constraints for adopting sustainability standards in small and medium-sized enterprises (SMEs) and the demand for finance: a Brazilian case study","type":"chapter"},"uris":["http://www.mendeley.com/documents/?uuid=be6ebbcc-5262-4f8e-917e-d39fbfab40a2"]}],"mendeley":{"formattedCitation":"(Coelho &amp; Nunes, 2017)","manualFormatting":"Coelho and Nunes (2017)","plainTextFormattedCitation":"(Coelho &amp; Nunes, 2017)","previouslyFormattedCitation":"(Coelho &amp; Nunes, 2017)"},"properties":{"noteIndex":0},"schema":"https://github.com/citation-style-language/schema/raw/master/csl-citation.json"}</w:instrText>
      </w:r>
      <w:r w:rsidRPr="00190F7C">
        <w:rPr>
          <w:lang w:val="en-MY"/>
        </w:rPr>
        <w:fldChar w:fldCharType="separate"/>
      </w:r>
      <w:r w:rsidRPr="00190F7C">
        <w:t>Coelho and Nunes (2017)</w:t>
      </w:r>
      <w:r w:rsidRPr="00190F7C">
        <w:rPr>
          <w:lang w:val="en-US"/>
        </w:rPr>
        <w:fldChar w:fldCharType="end"/>
      </w:r>
      <w:r w:rsidRPr="00190F7C">
        <w:t xml:space="preserve"> added that ‘In Brazil, some lead firms similarly offer supplier development programs or subsidize the costs of standards implementation.’ Likewise, </w:t>
      </w:r>
      <w:r w:rsidRPr="00190F7C">
        <w:rPr>
          <w:lang w:val="en-MY"/>
        </w:rPr>
        <w:fldChar w:fldCharType="begin"/>
      </w:r>
      <w:r w:rsidRPr="00190F7C">
        <w:instrText>ADDIN CSL_CITATION {"citationItems":[{"id":"ITEM-1","itemData":{"author":[{"dropping-particle":"","family":"Kathuria","given":"Rajat","non-dropping-particle":"","parse-names":false,"suffix":""},{"dropping-particle":"","family":"Amrita","given":"Goldar","non-dropping-particle":"","parse-names":false,"suffix":""},{"dropping-particle":"","family":"Sajal","given":"Jain","non-dropping-particle":"","parse-names":false,"suffix":""}],"container-title":"Drivers and constraints for adopting sustainability standards in small and medium-sized enterprises (SMEs) and the demand for finance :Case studies from Brazil, China, India, Indonesia and South Africa","id":"ITEM-1","issued":{"date-parts":[["2017"]]},"page":"45-64","title":"Drivers and constraints for adopting sustainability standards in small and medium-sized enterprises (SMEs) and the demand for finance: an Indian case study (Part I: Macro perspective)","type":"chapter"},"uris":["http://www.mendeley.com/documents/?uuid=30280fef-5407-4d1f-9c08-c9e2248e9b3b"]}],"mendeley":{"formattedCitation":"(Kathuria et al., 2017)","manualFormatting":"Kathuria et al. (2017)","plainTextFormattedCitation":"(Kathuria et al., 2017)","previouslyFormattedCitation":"(Kathuria et al., 2017)"},"properties":{"noteIndex":0},"schema":"https://github.com/citation-style-language/schema/raw/master/csl-citation.json"}</w:instrText>
      </w:r>
      <w:r w:rsidRPr="00190F7C">
        <w:rPr>
          <w:lang w:val="en-MY"/>
        </w:rPr>
        <w:fldChar w:fldCharType="separate"/>
      </w:r>
      <w:r w:rsidRPr="00190F7C">
        <w:t>Kathuria et al. (2017)</w:t>
      </w:r>
      <w:r w:rsidRPr="00190F7C">
        <w:rPr>
          <w:lang w:val="en-US"/>
        </w:rPr>
        <w:fldChar w:fldCharType="end"/>
      </w:r>
      <w:r w:rsidRPr="00190F7C">
        <w:t xml:space="preserve"> affirmed that ‘the Indian government has installed various subsidy and reimbursement schemes to offer financial assistance for the certification costs of selected national and international standards’. </w:t>
      </w:r>
    </w:p>
    <w:p w14:paraId="66122B81" w14:textId="77777777" w:rsidR="00B13712" w:rsidRPr="00190F7C" w:rsidRDefault="00B13712" w:rsidP="002B30EF">
      <w:pPr>
        <w:ind w:firstLine="284"/>
        <w:jc w:val="both"/>
      </w:pPr>
    </w:p>
    <w:p w14:paraId="621BE2C1" w14:textId="77777777" w:rsidR="00B13712" w:rsidRPr="00190F7C" w:rsidRDefault="00B13712" w:rsidP="002B30EF">
      <w:pPr>
        <w:ind w:firstLine="284"/>
        <w:jc w:val="both"/>
        <w:rPr>
          <w:lang w:val="en-US"/>
        </w:rPr>
      </w:pPr>
      <w:r w:rsidRPr="00190F7C">
        <w:t>Even though ecological receptiveness is mostly low amid businesses, binding regulations effectively force firms to implement measures, as organizations are susceptible to unadorned penalties of authorized reprisal (Coelho &amp; Nunes, 2017; Kathuria et al., 2017). China has established general standards, such as the ‘China Forest Certification Scheme (CFCS)’, that are compulsory for nationwide manufacturers and accordingly initiate the level of standards exhibition (</w:t>
      </w:r>
      <w:r w:rsidRPr="00190F7C">
        <w:rPr>
          <w:lang w:val="en-MY"/>
        </w:rPr>
        <w:fldChar w:fldCharType="begin"/>
      </w:r>
      <w:r w:rsidRPr="00190F7C">
        <w:instrText>ADDIN CSL_CITATION {"citationItems":[{"id":"ITEM-1","itemData":{"author":[{"dropping-particle":"","family":"Cao","given":"J.","non-dropping-particle":"","parse-names":false,"suffix":""}],"container-title":"Drivers and Constraints for Adopting Sustainability Standards in Small and Medium-sized Enterprises (SMEs) and the Demand for Finance: Case studies from Brazil, China, India, Indonesia and South Africa","id":"ITEM-1","issued":{"date-parts":[["2017"]]},"page":"29-44","title":"Drivers and constraints for adopting sustainability standards in small and medium-sized enterprises (SMEs) and the demand for finance: A Chinese case study.","type":"chapter"},"uris":["http://www.mendeley.com/documents/?uuid=870a43d6-5e8e-4570-9730-35c824b40b97"]}],"mendeley":{"formattedCitation":"(Cao, 2017)","manualFormatting":"Cao, 2017","plainTextFormattedCitation":"(Cao, 2017)","previouslyFormattedCitation":"(Cao, 2017)"},"properties":{"noteIndex":0},"schema":"https://github.com/citation-style-language/schema/raw/master/csl-citation.json"}</w:instrText>
      </w:r>
      <w:r w:rsidRPr="00190F7C">
        <w:rPr>
          <w:lang w:val="en-MY"/>
        </w:rPr>
        <w:fldChar w:fldCharType="separate"/>
      </w:r>
      <w:r w:rsidRPr="00190F7C">
        <w:t>Cao, 2017</w:t>
      </w:r>
      <w:r w:rsidRPr="00190F7C">
        <w:rPr>
          <w:lang w:val="en-US"/>
        </w:rPr>
        <w:fldChar w:fldCharType="end"/>
      </w:r>
      <w:r w:rsidRPr="00190F7C">
        <w:rPr>
          <w:lang w:val="en-US"/>
        </w:rPr>
        <w:t>;</w:t>
      </w:r>
      <w:r w:rsidRPr="00190F7C">
        <w:t xml:space="preserve"> </w:t>
      </w:r>
      <w:proofErr w:type="spellStart"/>
      <w:r w:rsidRPr="00190F7C">
        <w:t>Damuri</w:t>
      </w:r>
      <w:proofErr w:type="spellEnd"/>
      <w:r w:rsidRPr="00190F7C">
        <w:t xml:space="preserve"> &amp; Santoso, 2017). One can neither find direct evidence of institutional factors in any case tailored to promote sustainability standards implementation directly. Thus, it is unsurprising that such factors are still at an initial phase and are likely to feast further extensively </w:t>
      </w:r>
      <w:r w:rsidRPr="00190F7C">
        <w:fldChar w:fldCharType="begin"/>
      </w:r>
      <w:r w:rsidRPr="00190F7C">
        <w:instrText>ADDIN CSL_CITATION {"citationItems":[{"id":"ITEM-1","itemData":{"DOI":"10.58262/ks.v12i1.222","abstract":"Companies that worry economically about being held accountable by stakeholders and society for their corporate sustainability reporting (CSR) efforts should have a board structure that protects the interests of all stakeholders and investors. Therefore, we believe knowledgeable boards economically impact CSR practices, especially if they are well- organized. Thus, we look into how board characteristics, specifically board size (BDZE), board independence (BDIND), gender diversity (BOGD), and board CSR committee (CSRC) affect CSR activities. We employed the global consensus rater CSRHUB to evaluate 300 observations from listed firms comprising 50 companies. We postulated that every attribute on the board had a favourable economic impact on CSR activities. Ordinary least square (OLS), Panel-corrected standard error (PCSE), and Driscoll/Karaay (SCC) regression models were used to examine the study's data. Our findings support all the assumptions except for BDIND. Therefore, we conclude that board features like BDZE, BOGD, and CSRC increase the disclosure of CSR activities. Our projections show that BDIND has a detrimental economic impact on CSR practices. Empirical evidence supporting the legitimacy of the board traits that positively contribute to strengthening CSR practices and stakeholders' opinions on the firms are provided by this study. Our findings imply that further research is necessary to understand women's participation on boards of directors fully. Keywords:","author":[{"dropping-particle":"","family":"Kumo","given":"Usman Ahmed","non-dropping-particle":"","parse-names":false,"suffix":""},{"dropping-particle":"","family":"Zakimi","given":"Fathilatul","non-dropping-particle":"","parse-names":false,"suffix":""},{"dropping-particle":"","family":"Hamid","given":"Abdul","non-dropping-particle":"","parse-names":false,"suffix":""},{"dropping-particle":"","family":"Sahdan","given":"Mohd Hadafi","non-dropping-particle":"","parse-names":false,"suffix":""}],"container-title":"Kurdish Studies","id":"ITEM-1","issue":"1","issued":{"date-parts":[["2024"]]},"page":"3051-3068","title":"The Economic Benefit of Board Features in Enhancing Corporate Sustainability Reporting Practices Disclosure of Nigerian Listed Non-Financial Firms","type":"article-journal","volume":"12"},"uris":["http://www.mendeley.com/documents/?uuid=0238532d-47e4-4e90-8b0f-d1a0ee2b70c5"]}],"mendeley":{"formattedCitation":"(Kumo et al., 2024)","plainTextFormattedCitation":"(Kumo et al., 2024)","previouslyFormattedCitation":"(Kumo et al., 2024)"},"properties":{"noteIndex":0},"schema":"https://github.com/citation-style-language/schema/raw/master/csl-citation.json"}</w:instrText>
      </w:r>
      <w:r w:rsidRPr="00190F7C">
        <w:fldChar w:fldCharType="separate"/>
      </w:r>
      <w:r w:rsidRPr="00190F7C">
        <w:t>(Kumo et al., 2024)</w:t>
      </w:r>
      <w:r w:rsidRPr="00190F7C">
        <w:fldChar w:fldCharType="end"/>
      </w:r>
      <w:r w:rsidRPr="00190F7C">
        <w:t>.</w:t>
      </w:r>
    </w:p>
    <w:p w14:paraId="62D6FFB8" w14:textId="77777777" w:rsidR="00B13712" w:rsidRPr="00190F7C" w:rsidRDefault="00B13712" w:rsidP="002B30EF">
      <w:pPr>
        <w:ind w:firstLine="284"/>
        <w:jc w:val="both"/>
        <w:rPr>
          <w:lang w:val="en-US"/>
        </w:rPr>
      </w:pPr>
    </w:p>
    <w:p w14:paraId="6D1D2E7A" w14:textId="77777777" w:rsidR="00B13712" w:rsidRPr="00190F7C" w:rsidRDefault="00B13712" w:rsidP="002B30EF">
      <w:pPr>
        <w:ind w:firstLine="284"/>
        <w:jc w:val="both"/>
      </w:pPr>
      <w:r w:rsidRPr="00190F7C">
        <w:t xml:space="preserve">In the context of Nigeria, for example, the Central Bank of Nigeria issued an explicit directive to economic organizations to integrate sustainability problems into their corporate report and prepare a separate statement containing SI. Therefore, financial institutions must adhere to sustainable banking principles to promote social responsibility (CBN, 2012). Consistently, Christofi et al. (2012) suggested that stakeholders modify corporate sustainability decisions to recompense businesses for adhering to sustainability principles and penalize those who do not. Against this background, it is observed that “competition” and “access to finance” are factors that in line with present literature can either stand-in or hinder the spread of sustainability standards. Prior studies reveal that there were rare situations in which these factors stances as drivers for implementing measures, mostly they were found to be appropriate constraints </w:t>
      </w:r>
      <w:r w:rsidRPr="00190F7C">
        <w:fldChar w:fldCharType="begin"/>
      </w:r>
      <w:r w:rsidRPr="00190F7C">
        <w:instrText>ADDIN CSL_CITATION {"citationItems":[{"id":"ITEM-1","itemData":{"ISBN":"978-3-96021-45-0 Printed","abstract":"In order to “make standards work” for small and medium-sized enterprises (SMEs) and sustainable development, the challenges and incentives for SMEs in the up-take of standards need to be better understood. The paper analyses five country case studies in the emerging economies of China, Brazil, India, Indonesia and South Africa in order to 1) identify drivers and constraints for the adoption of social and environmental standards by SMEs and 2) to derive policy considerations of how to promote more sustainable production processes and compliance by SMEs with social and environmental standards.","author":[{"dropping-particle":"","family":"Sommer","given":"Christoph","non-dropping-particle":"","parse-names":false,"suffix":""}],"container-title":"German Development Institute","id":"ITEM-1","issued":{"date-parts":[["2017"]]},"page":"73","title":"Drivers and Constraints for Adopting Sustainability Standards in Small and Medium-sized Enterprises (SMEs)","type":"article-journal"},"uris":["http://www.mendeley.com/documents/?uuid=473888fb-1945-4419-8027-d09852f6f464"]}],"mendeley":{"formattedCitation":"(Sommer, 2017)","plainTextFormattedCitation":"(Sommer, 2017)","previouslyFormattedCitation":"(Sommer, 2017)"},"properties":{"noteIndex":0},"schema":"https://github.com/citation-style-language/schema/raw/master/csl-citation.json"}</w:instrText>
      </w:r>
      <w:r w:rsidRPr="00190F7C">
        <w:fldChar w:fldCharType="separate"/>
      </w:r>
      <w:r w:rsidRPr="00190F7C">
        <w:t>(Sommer, 2017)</w:t>
      </w:r>
      <w:r w:rsidRPr="00190F7C">
        <w:fldChar w:fldCharType="end"/>
      </w:r>
      <w:r w:rsidRPr="00190F7C">
        <w:t xml:space="preserve">. </w:t>
      </w:r>
    </w:p>
    <w:p w14:paraId="138CE919" w14:textId="77777777" w:rsidR="00B13712" w:rsidRPr="00190F7C" w:rsidRDefault="00B13712" w:rsidP="002B30EF">
      <w:pPr>
        <w:ind w:firstLine="284"/>
        <w:jc w:val="both"/>
      </w:pPr>
    </w:p>
    <w:p w14:paraId="1FD7116A" w14:textId="77777777" w:rsidR="00B13712" w:rsidRPr="00190F7C" w:rsidRDefault="00B13712" w:rsidP="002B30EF">
      <w:pPr>
        <w:ind w:firstLine="284"/>
        <w:jc w:val="both"/>
      </w:pPr>
      <w:r w:rsidRPr="00190F7C">
        <w:t>Consequently, this study uses the variable competition and access to finance as factors that institutionally geared the corporation's need to address financial issues to help improve and enhance their businesses because none of these variables was used to measure institutional factors in the Nigerian context. Furthermore, access to finance is an essential proxy for economic conditions due to essential investments in innovative environmental-friendly production expertise and workforce training for sustainable development (Kumo, 2023).</w:t>
      </w:r>
    </w:p>
    <w:p w14:paraId="18C3E53A" w14:textId="77777777" w:rsidR="00B13712" w:rsidRPr="00190F7C" w:rsidRDefault="00B13712" w:rsidP="002B30EF">
      <w:pPr>
        <w:ind w:firstLine="284"/>
        <w:jc w:val="both"/>
      </w:pPr>
    </w:p>
    <w:p w14:paraId="2E3DB41E" w14:textId="77777777" w:rsidR="00B13712" w:rsidRPr="00190F7C" w:rsidRDefault="00B13712" w:rsidP="002B30EF">
      <w:pPr>
        <w:ind w:firstLine="284"/>
        <w:jc w:val="both"/>
      </w:pPr>
      <w:r w:rsidRPr="00190F7C">
        <w:t xml:space="preserve">According to </w:t>
      </w:r>
      <w:r w:rsidRPr="00190F7C">
        <w:fldChar w:fldCharType="begin"/>
      </w:r>
      <w:r w:rsidRPr="00190F7C">
        <w:instrText>ADDIN CSL_CITATION {"citationItems":[{"id":"ITEM-1","itemData":{"author":[{"dropping-particle":"Van","family":"Bueren","given":"Ellen","non-dropping-particle":"","parse-names":false,"suffix":""}],"container-title":"Encyclopaedia Britannica, Inc","id":"ITEM-1","issued":{"date-parts":[["2019","12","12"]]},"page":"1-7","publisher":"Wiley","title":"Environmental Policy","type":"entry-encyclopedia"},"uris":["http://www.mendeley.com/documents/?uuid=46940182-df89-4c2e-9098-8360c7112215"]}],"mendeley":{"formattedCitation":"(Bueren, 2019)","manualFormatting":" Bueren (2019)","plainTextFormattedCitation":"(Bueren, 2019)","previouslyFormattedCitation":"(Bueren, 2019)"},"properties":{"noteIndex":0},"schema":"https://github.com/citation-style-language/schema/raw/master/csl-citation.json"}</w:instrText>
      </w:r>
      <w:r w:rsidRPr="00190F7C">
        <w:fldChar w:fldCharType="separate"/>
      </w:r>
      <w:r w:rsidRPr="00190F7C">
        <w:t xml:space="preserve"> Bueren (2019)</w:t>
      </w:r>
      <w:r w:rsidRPr="00190F7C">
        <w:fldChar w:fldCharType="end"/>
      </w:r>
      <w:r w:rsidRPr="00190F7C">
        <w:t xml:space="preserve"> ‘Environmental Policy (ENVP) is primarily concerned with how to govern the relationship between humans and the natural environment in a mutually beneficial manner. Traditionally, it has been defined in terms of the problems it addressed, such as controlling pollution, waste flows, and limiting habitat loss.’ However, policymakers have started to appreciate that ENVP would be genuinely successful, only when it is compassionately integrated with other segments and policy extents (Benson &amp; Jordan, 2015). In line with the above, </w:t>
      </w:r>
      <w:r w:rsidRPr="00190F7C">
        <w:fldChar w:fldCharType="begin"/>
      </w:r>
      <w:r w:rsidRPr="00190F7C">
        <w:instrText>ADDIN CSL_CITATION {"citationItems":[{"id":"ITEM-1","itemData":{"author":[{"dropping-particle":"Van","family":"Bueren","given":"Ellen","non-dropping-particle":"","parse-names":false,"suffix":""}],"container-title":"Encyclopaedia Britannica, Inc","id":"ITEM-1","issued":{"date-parts":[["2019","12","12"]]},"page":"1-7","publisher":"Wiley","title":"Environmental Policy","type":"entry-encyclopedia"},"uris":["http://www.mendeley.com/documents/?uuid=46940182-df89-4c2e-9098-8360c7112215"]}],"mendeley":{"formattedCitation":"(Bueren, 2019)","manualFormatting":"Bueren (2019)","plainTextFormattedCitation":"(Bueren, 2019)","previouslyFormattedCitation":"(Bueren, 2019)"},"properties":{"noteIndex":0},"schema":"https://github.com/citation-style-language/schema/raw/master/csl-citation.json"}</w:instrText>
      </w:r>
      <w:r w:rsidRPr="00190F7C">
        <w:fldChar w:fldCharType="separate"/>
      </w:r>
      <w:r w:rsidRPr="00190F7C">
        <w:t>Bueren (2019)</w:t>
      </w:r>
      <w:r w:rsidRPr="00190F7C">
        <w:fldChar w:fldCharType="end"/>
      </w:r>
      <w:r w:rsidRPr="00190F7C">
        <w:t xml:space="preserve"> argued that such candid administrative principles do not work in all situations. For instance, some environmental challenges, such as global warming, illuminate the need to view Earth as an ecosystem consisting of various subsystems, which, once disrupted, can lead to rapid changes beyond human control (Kumo, 2023). Getting polluters to pay or the sudden adoption of the precautionary principle by all countries would not necessarily roll back the damage already imparted to the biosphere, though it would reduce future damage (</w:t>
      </w:r>
      <w:r w:rsidRPr="00190F7C">
        <w:fldChar w:fldCharType="begin"/>
      </w:r>
      <w:r w:rsidRPr="00190F7C">
        <w:instrText>ADDIN CSL_CITATION {"citationItems":[{"id":"ITEM-1","itemData":{"author":[{"dropping-particle":"Van","family":"Bueren","given":"Ellen","non-dropping-particle":"","parse-names":false,"suffix":""}],"container-title":"Encyclopaedia Britannica, Inc","id":"ITEM-1","issued":{"date-parts":[["2019","12","12"]]},"page":"1-7","publisher":"Wiley","title":"Environmental Policy","type":"entry-encyclopedia"},"uris":["http://www.mendeley.com/documents/?uuid=46940182-df89-4c2e-9098-8360c7112215"]}],"mendeley":{"formattedCitation":"(Bueren, 2019)","manualFormatting":"Bueren, 2019)","plainTextFormattedCitation":"(Bueren, 2019)","previouslyFormattedCitation":"(Bueren, 2019)"},"properties":{"noteIndex":0},"schema":"https://github.com/citation-style-language/schema/raw/master/csl-citation.json"}</w:instrText>
      </w:r>
      <w:r w:rsidRPr="00190F7C">
        <w:fldChar w:fldCharType="separate"/>
      </w:r>
      <w:r w:rsidRPr="00190F7C">
        <w:t>Bueren, 2019)</w:t>
      </w:r>
      <w:r w:rsidRPr="00190F7C">
        <w:fldChar w:fldCharType="end"/>
      </w:r>
      <w:r w:rsidRPr="00190F7C">
        <w:t>.</w:t>
      </w:r>
    </w:p>
    <w:p w14:paraId="1033B8C5" w14:textId="77777777" w:rsidR="00B13712" w:rsidRPr="00190F7C" w:rsidRDefault="00B13712" w:rsidP="002B30EF">
      <w:pPr>
        <w:ind w:firstLine="284"/>
        <w:jc w:val="both"/>
      </w:pPr>
      <w:r w:rsidRPr="00190F7C">
        <w:t xml:space="preserve"> </w:t>
      </w:r>
    </w:p>
    <w:p w14:paraId="2B441730" w14:textId="77777777" w:rsidR="00B13712" w:rsidRPr="00190F7C" w:rsidRDefault="00B13712" w:rsidP="002B30EF">
      <w:pPr>
        <w:ind w:firstLine="284"/>
        <w:jc w:val="both"/>
      </w:pPr>
      <w:r w:rsidRPr="00190F7C">
        <w:t>A significant concern of developing nations in today's environment is the need for environmental authorities to ensure that corporations adhere to environmental legislation, standards, and policies (Bradshaw et al., 2021). They added that more needs to be done in this area for developing countries to succeed in coercing businesses to comply with the policies. Thus, it is essential on a global scale</w:t>
      </w:r>
      <w:bookmarkStart w:id="3" w:name="_Hlk94370254"/>
      <w:r w:rsidRPr="00190F7C">
        <w:t xml:space="preserve"> as it’s been observed that foreign investors are increasingly concerned about environmental issues because of the increasing importance given to economies that facilitate the move from the remains of fuels to renewable energy sources </w:t>
      </w:r>
      <w:r w:rsidRPr="00190F7C">
        <w:fldChar w:fldCharType="begin"/>
      </w:r>
      <w:r w:rsidRPr="00190F7C">
        <w:instrText>ADDIN CSL_CITATION {"citationItems":[{"id":"ITEM-1","itemData":{"DOI":"10.3389/fcosc.2020.615419","abstract":"We report three major and confronting environmental issues that have received little attention and require urgent action. First, we review the evidence that future environmental conditions will be far more dangerous than currently believed. The scale of the threats to the biosphere and all its lifeforms—including humanity—is in fact so great that it is difficult to grasp for even well-informed experts. Second, we ask what political or economic system, or leadership, is prepared to handle the predicted disasters, or even capable of such action. Third, this dire situation places an extraordinary responsibility on scientists to speak out candidly and accurately when engaging with government, business, and the public. We especially draw attention to the lack of appreciation of the enormous challenges to creating a sustainable future. The added stresses to human health, wealth, and well-being will perversely diminish our political capacity to mitigate the erosion of ecosystem services on which society depends. The science underlying these issues is strong, but awareness is weak. Without fully appreciating and broadcasting the scale of the problems and the enormity of the solutions required, society will fail to achieve even modest sustainability goals.","author":[{"dropping-particle":"","family":"Bradshaw","given":"Corey J. A.","non-dropping-particle":"","parse-names":false,"suffix":""},{"dropping-particle":"","family":"Ehrlich","given":"Paul R.","non-dropping-particle":"","parse-names":false,"suffix":""},{"dropping-particle":"","family":"Beattie","given":"Andrew","non-dropping-particle":"","parse-names":false,"suffix":""},{"dropping-particle":"","family":"Ceballos","given":"Gerardo","non-dropping-particle":"","parse-names":false,"suffix":""},{"dropping-particle":"","family":"Crist","given":"Eileen","non-dropping-particle":"","parse-names":false,"suffix":""},{"dropping-particle":"","family":"Diamond","given":"Joan","non-dropping-particle":"","parse-names":false,"suffix":""},{"dropping-particle":"","family":"Dirzo","given":"Rodolfo","non-dropping-particle":"","parse-names":false,"suffix":""},{"dropping-particle":"","family":"Ehrlich","given":"Anne H.","non-dropping-particle":"","parse-names":false,"suffix":""},{"dropping-particle":"","family":"Harte","given":"John","non-dropping-particle":"","parse-names":false,"suffix":""},{"dropping-particle":"","family":"Harte","given":"Mary Ellen","non-dropping-particle":"","parse-names":false,"suffix":""},{"dropping-particle":"","family":"Pyke","given":"Graham","non-dropping-particle":"","parse-names":false,"suffix":""},{"dropping-particle":"","family":"Raven","given":"Peter H.","non-dropping-particle":"","parse-names":false,"suffix":""},{"dropping-particle":"","family":"Ripple","given":"William J.","non-dropping-particle":"","parse-names":false,"suffix":""},{"dropping-particle":"","family":"Saltré","given":"Frédérik","non-dropping-particle":"","parse-names":false,"suffix":""},{"dropping-particle":"","family":"Turnbull","given":"Christine","non-dropping-particle":"","parse-names":false,"suffix":""},{"dropping-particle":"","family":"Wackernagel","given":"Mathis","non-dropping-particle":"","parse-names":false,"suffix":""},{"dropping-particle":"","family":"Blumstein","given":"Daniel T.","non-dropping-particle":"","parse-names":false,"suffix":""}],"container-title":"Frontiers in Conservation Science","id":"ITEM-1","issue":"1","issued":{"date-parts":[["2021"]]},"page":"1-10","title":"Underestimating the Challenges of Avoiding a Ghastly Future","type":"article-journal","volume":"1"},"uris":["http://www.mendeley.com/documents/?uuid=9c456a1c-2681-4b31-9baf-ba31551ee0bd"]}],"mendeley":{"formattedCitation":"(Bradshaw et al., 2021)","plainTextFormattedCitation":"(Bradshaw et al., 2021)","previouslyFormattedCitation":"(Bradshaw et al., 2021)"},"properties":{"noteIndex":0},"schema":"https://github.com/citation-style-language/schema/raw/master/csl-citation.json"}</w:instrText>
      </w:r>
      <w:r w:rsidRPr="00190F7C">
        <w:fldChar w:fldCharType="separate"/>
      </w:r>
      <w:r w:rsidRPr="00190F7C">
        <w:t>(Bradshaw et al., 2021)</w:t>
      </w:r>
      <w:r w:rsidRPr="00190F7C">
        <w:fldChar w:fldCharType="end"/>
      </w:r>
      <w:r w:rsidRPr="00190F7C">
        <w:t xml:space="preserve">. </w:t>
      </w:r>
      <w:bookmarkEnd w:id="3"/>
      <w:r w:rsidRPr="00190F7C">
        <w:t>Considering the argument above, this study intends to use ENVP as a guiding principle to moderate and strengthen the relationship between institutional factors and CSI.</w:t>
      </w:r>
    </w:p>
    <w:p w14:paraId="230F45F3" w14:textId="77777777" w:rsidR="0080532E" w:rsidRDefault="0080532E" w:rsidP="002B30EF">
      <w:pPr>
        <w:pBdr>
          <w:top w:val="nil"/>
          <w:left w:val="nil"/>
          <w:bottom w:val="nil"/>
          <w:right w:val="nil"/>
          <w:between w:val="nil"/>
        </w:pBdr>
        <w:jc w:val="both"/>
        <w:rPr>
          <w:color w:val="000000"/>
        </w:rPr>
      </w:pPr>
    </w:p>
    <w:p w14:paraId="6062E3EB" w14:textId="77777777" w:rsidR="0080532E" w:rsidRDefault="0080532E" w:rsidP="00304CE2">
      <w:pPr>
        <w:numPr>
          <w:ilvl w:val="0"/>
          <w:numId w:val="2"/>
        </w:numPr>
        <w:pBdr>
          <w:top w:val="nil"/>
          <w:left w:val="nil"/>
          <w:bottom w:val="nil"/>
          <w:right w:val="nil"/>
          <w:between w:val="nil"/>
        </w:pBdr>
      </w:pPr>
      <w:r>
        <w:rPr>
          <w:b/>
          <w:color w:val="000000"/>
        </w:rPr>
        <w:t>Literature Review</w:t>
      </w:r>
    </w:p>
    <w:p w14:paraId="5128F937" w14:textId="77777777" w:rsidR="00304CE2" w:rsidRDefault="00304CE2" w:rsidP="00304CE2">
      <w:pPr>
        <w:jc w:val="both"/>
        <w:rPr>
          <w:bCs/>
          <w:i/>
          <w:iCs/>
        </w:rPr>
      </w:pPr>
    </w:p>
    <w:p w14:paraId="54D899D4" w14:textId="5007AA9C" w:rsidR="002472A9" w:rsidRPr="004B0BF5" w:rsidRDefault="002472A9" w:rsidP="00304CE2">
      <w:pPr>
        <w:jc w:val="both"/>
        <w:rPr>
          <w:bCs/>
          <w:i/>
          <w:iCs/>
        </w:rPr>
      </w:pPr>
      <w:r w:rsidRPr="004B0BF5">
        <w:rPr>
          <w:bCs/>
          <w:i/>
          <w:iCs/>
        </w:rPr>
        <w:t>2.1 Economic Constraints (Access to finance) and Corporate Sustainability Initiatives</w:t>
      </w:r>
    </w:p>
    <w:p w14:paraId="73DDF6F2" w14:textId="77777777" w:rsidR="002472A9" w:rsidRDefault="002472A9" w:rsidP="00304CE2">
      <w:pPr>
        <w:jc w:val="both"/>
      </w:pPr>
    </w:p>
    <w:p w14:paraId="2E18458E" w14:textId="77777777" w:rsidR="002472A9" w:rsidRDefault="002472A9" w:rsidP="00304CE2">
      <w:pPr>
        <w:ind w:firstLine="284"/>
        <w:jc w:val="both"/>
      </w:pPr>
      <w:r w:rsidRPr="00190F7C">
        <w:t xml:space="preserve">According to institutional theory, external environment constituents exert distinct constraints such as regulations, norms, and initiatives upon organizations’ behaviours, including SI (DiMaggio &amp; Powell, 2000; Scott, 2014). Thus, Economic constraints involve organizing the need to interact with the environment in ways that are acceptable to the various elements to the extent that institutional rules are fused within establishments as a means to gain legitimacy, resources, and stability, as well as to enhance sustainability forecasts (Meyer &amp; Rowan, 1977). Therefore, the sources of coercive mechanisms include regulations and economic constraints’ pressures that affect organizations' decisions concerning sustainability </w:t>
      </w:r>
      <w:r w:rsidRPr="00190F7C">
        <w:fldChar w:fldCharType="begin"/>
      </w:r>
      <w:r w:rsidRPr="00190F7C">
        <w:instrText>ADDIN CSL_CITATION {"citationItems":[{"id":"ITEM-1","itemData":{"DOI":"10.3390/su10082954","ISSN":"20711050","abstract":"Higher education institutions (HEIs) have been steadily progressing towards the integration of sustainable practices in their structures and operations. Several studies have reported the variety of drivers of change and the barriers to change that universities have found in the integration process. The present investigation is aimed at further characterizing and ranking the drivers for, and barriers of, sustainability integration in HEIs within their structures and operating functions. Open-ended expert opinion interviews of key sustainability leaders appointed at 45 HEIs from 10 Latin-American countries were conducted in order to learn lessons from their diverse experiences of the process. Additionally, a thematic workshop on HEI sustainability was organized to facilitate further discussions between 23 sustainability scholars and/or national coordinators of university networks from 11 Latin American countries. As a result, 15 barriers were identified as hindering the institutionalization of sustainability in HEIs. This study also examined the relationship between these reported barriers with 13 main drivers that were identified to be facilitating the integration of sustainable practices within the organizational and academic structures at the universities. The strong correspondence between the several observed drivers for, and barriers to, change highlights the importance of strategic planning that offers integrated actions. The findings of this paper can serve as a reference to assist HEIs in identifying drivers of, and barriers to, sustainability, so that the former can be fostered and the latter addressed effectively. This can help identify and plan targeted actions to make the transition towards sustainability in HEIs more natural and effective.","author":[{"dropping-particle":"","family":"Blanco-Portela","given":"Norka","non-dropping-particle":"","parse-names":false,"suffix":""},{"dropping-particle":"","family":"R-Pertierra","given":"Luis","non-dropping-particle":"","parse-names":false,"suffix":""},{"dropping-particle":"","family":"Benayas","given":"Javier","non-dropping-particle":"","parse-names":false,"suffix":""},{"dropping-particle":"","family":"Lozano","given":"Rodrigo","non-dropping-particle":"","parse-names":false,"suffix":""}],"container-title":"Sustainability (Switzerland)","id":"ITEM-1","issue":"8","issued":{"date-parts":[["2018"]]},"title":"Sustainability leaders' perceptions on the drivers for and the barriers to the integration of sustainability in Latin American Higher Education Institutions","type":"article-journal","volume":"10"},"uris":["http://www.mendeley.com/documents/?uuid=1c8c6080-d18d-4fec-be8a-fed22704f432"]}],"mendeley":{"formattedCitation":"(Blanco-Portela et al., 2018)","plainTextFormattedCitation":"(Blanco-Portela et al., 2018)","previouslyFormattedCitation":"(Blanco-Portela et al., 2018)"},"properties":{"noteIndex":0},"schema":"https://github.com/citation-style-language/schema/raw/master/csl-citation.json"}</w:instrText>
      </w:r>
      <w:r w:rsidRPr="00190F7C">
        <w:fldChar w:fldCharType="separate"/>
      </w:r>
      <w:r w:rsidRPr="00190F7C">
        <w:t>(Blanco-Portela et al., 2018)</w:t>
      </w:r>
      <w:r w:rsidRPr="00190F7C">
        <w:fldChar w:fldCharType="end"/>
      </w:r>
      <w:r w:rsidRPr="00190F7C">
        <w:t>.</w:t>
      </w:r>
    </w:p>
    <w:p w14:paraId="1B8E321F" w14:textId="77777777" w:rsidR="002472A9" w:rsidRDefault="002472A9" w:rsidP="002B30EF">
      <w:pPr>
        <w:spacing w:line="276" w:lineRule="auto"/>
        <w:ind w:firstLine="284"/>
        <w:jc w:val="both"/>
      </w:pPr>
    </w:p>
    <w:p w14:paraId="7052A4F5" w14:textId="77777777" w:rsidR="002472A9" w:rsidRDefault="002472A9" w:rsidP="00304CE2">
      <w:pPr>
        <w:ind w:firstLine="284"/>
        <w:jc w:val="both"/>
      </w:pPr>
      <w:r w:rsidRPr="00190F7C">
        <w:t xml:space="preserve">Prior studies, for instance, Kumo (2024) believed that access to finance is interrelated with the ability of organizations to obtain financial services. It has also been recognized as essential in helping firms' SI and growth by financing existing and new investment projects </w:t>
      </w:r>
      <w:r w:rsidRPr="00190F7C">
        <w:fldChar w:fldCharType="begin"/>
      </w:r>
      <w:r w:rsidRPr="00190F7C">
        <w:instrText>ADDIN CSL_CITATION {"citationItems":[{"id":"ITEM-1","itemData":{"DOI":"10.1093/wbro/lkn008","ISSN":"02573032","abstract":"In many developing countries less than half the population has access to formal financial services, and in most of Africa less than one in five households has access. Lack of access to finance is often the critical mechanism for generating persistent income inequality, as well as slower economic growth. Hence expanding access remains an important challenge across the world, leaving much for governments to do. However, not all government actions are equally effective and some policies can even be counterproductive. This paper sets out principles for effective government policy on broadening access, drawing on the available evidence and illustrating with examples. The paper concludes with directions for future research. © The Author 2009. Published by Oxford University Press on behalf of the International Bank for Reconstruction and Development/the world bank. All rights reserved.","author":[{"dropping-particle":"","family":"Beck","given":"Thorsten","non-dropping-particle":"","parse-names":false,"suffix":""},{"dropping-particle":"","family":"Demirgüç-Kunt","given":"Asli","non-dropping-particle":"","parse-names":false,"suffix":""},{"dropping-particle":"","family":"Honohan","given":"Patrick","non-dropping-particle":"","parse-names":false,"suffix":""}],"container-title":"World Bank Research Observer","id":"ITEM-1","issue":"1","issued":{"date-parts":[["2009"]]},"page":"119-145","title":"Access to financial services: Measurement, impact, and policies","type":"article-journal","volume":"24"},"uris":["http://www.mendeley.com/documents/?uuid=6de97068-f672-4834-9dc8-f3e853265555"]}],"mendeley":{"formattedCitation":"(Beck et al., 2009)","manualFormatting":"(Kumo et al., 2023; Beck et al., 2009)","plainTextFormattedCitation":"(Beck et al., 2009)","previouslyFormattedCitation":"(Beck et al., 2009)"},"properties":{"noteIndex":0},"schema":"https://github.com/citation-style-language/schema/raw/master/csl-citation.json"}</w:instrText>
      </w:r>
      <w:r w:rsidRPr="00190F7C">
        <w:fldChar w:fldCharType="separate"/>
      </w:r>
      <w:r w:rsidRPr="00190F7C">
        <w:t>(Beck et al., 2009; Kumo et al., 2023)</w:t>
      </w:r>
      <w:r w:rsidRPr="00190F7C">
        <w:fldChar w:fldCharType="end"/>
      </w:r>
      <w:r w:rsidRPr="00190F7C">
        <w:t xml:space="preserve">.  Similarly, </w:t>
      </w:r>
      <w:r w:rsidRPr="00190F7C">
        <w:fldChar w:fldCharType="begin"/>
      </w:r>
      <w:r w:rsidRPr="00190F7C">
        <w:instrText>ADDIN CSL_CITATION {"citationItems":[{"id":"ITEM-1","itemData":{"DOI":"10.3390/su11195451","ISSN":"20711050","abstract":"In many developing countries, obtaining financial services at affordable rates and fair terms has been a significant challenge for small and medium enterprises (SMEs). However, this issue has not been paid much attention in Vietnam, even though SMEs account for about 95% of total enterprises and the financial market of the country has not been well developed. This study investigates the causal effects of access to finance on productivity of SMEs operating in the manufacturing sector in Vietnam. Productivity was measured as the total factor productivity (TFP) obtained by production function estimation using the Levinsohn and Petrin approach. Regarding financial accessibility, two factors covered the extent to which firms might have a bank loan or overdraft facility were employed. To study the causal inferences of access to finance on firm productivity, the research adopted the difference-in-differences (DID) approach, as well as the propensity score matching (PSM) coupled with DID technique. The empirical results indicated that improving the financial accessibility could directly enhance firm productivity. Particularly, it was shown that firms having access to a bank loan could significantly improve TFP by approximately 8.6% in the DID model and about 9% in the PSM-DID model. Meanwhile, the firm average TFP increased by approximately 12.3% and 15.7% in simple DID and PSM-DID models, respectively, when firms had an overdraft facility. These findings suggest that the government should put more effort into assisting SMEs in generating bankable projects, and create a sound and healthy financial environment to stimulate firms' access to finance, which will ensure their sustainability and growth.","author":[{"dropping-particle":"","family":"Giang","given":"Mai Huong","non-dropping-particle":"","parse-names":false,"suffix":""},{"dropping-particle":"","family":"Trung","given":"Bui Huy","non-dropping-particle":"","parse-names":false,"suffix":""},{"dropping-particle":"","family":"Yoshida","given":"Yuichiro","non-dropping-particle":"","parse-names":false,"suffix":""},{"dropping-particle":"","family":"Xuan","given":"Tran Dang","non-dropping-particle":"","parse-names":false,"suffix":""},{"dropping-particle":"","family":"Que","given":"Mai Thanh","non-dropping-particle":"","parse-names":false,"suffix":""}],"container-title":"Sustainability (Switzerland)","id":"ITEM-1","issue":"19","issued":{"date-parts":[["2019"]]},"page":"1-19","title":"The causal effect of access to finance on productivity of small and medium enterprises in Vietnam","type":"article-journal","volume":"11"},"uris":["http://www.mendeley.com/documents/?uuid=1e88b2e6-39df-444a-b1a2-4e48280ea2e0"]}],"mendeley":{"formattedCitation":"(Giang et al., 2019)","manualFormatting":"Giang et al. (2019)","plainTextFormattedCitation":"(Giang et al., 2019)","previouslyFormattedCitation":"(Giang et al., 2019)"},"properties":{"noteIndex":0},"schema":"https://github.com/citation-style-language/schema/raw/master/csl-citation.json"}</w:instrText>
      </w:r>
      <w:r w:rsidRPr="00190F7C">
        <w:fldChar w:fldCharType="separate"/>
      </w:r>
      <w:r w:rsidRPr="00190F7C">
        <w:t>Giang et al. (2019)</w:t>
      </w:r>
      <w:r w:rsidRPr="00190F7C">
        <w:fldChar w:fldCharType="end"/>
      </w:r>
      <w:r w:rsidRPr="00190F7C">
        <w:t xml:space="preserve">  noted that firms would invest in schemes where the expected benefits surpass the costs. An efficient investment is realized only when the firms do not face credit impediments discrete from their concert. </w:t>
      </w:r>
    </w:p>
    <w:p w14:paraId="7B9D3893" w14:textId="77777777" w:rsidR="002472A9" w:rsidRDefault="002472A9" w:rsidP="002B30EF">
      <w:pPr>
        <w:spacing w:line="276" w:lineRule="auto"/>
        <w:ind w:firstLine="284"/>
        <w:jc w:val="both"/>
      </w:pPr>
    </w:p>
    <w:p w14:paraId="575BF2B7" w14:textId="249EAD98" w:rsidR="002472A9" w:rsidRDefault="002472A9" w:rsidP="00254942">
      <w:pPr>
        <w:ind w:firstLine="284"/>
        <w:jc w:val="both"/>
      </w:pPr>
      <w:r w:rsidRPr="00190F7C">
        <w:t xml:space="preserve">From a theoretical lookout, stakeholders contended that companies could finance their processes and development in many ways. Moreover, other organizations have unbalanced access to finance. Kumo et al. (2024) believed that since the financiers in several evolving economies have not been keen, as such companies in these nations might face substantial challenges in gaining finances and other funding services at reasonable rates and fair standings. Prior empirical viewpoint shows that, prevailing studies largely affirm that firms in emerging nations often cite economic constraints as the focal impediment to their growth (Ayyagari et al., 2008; </w:t>
      </w:r>
      <w:r w:rsidRPr="00190F7C">
        <w:fldChar w:fldCharType="begin"/>
      </w:r>
      <w:r w:rsidRPr="00190F7C">
        <w:instrText>ADDIN CSL_CITATION {"citationItems":[{"id":"ITEM-1","itemData":{"DOI":"10.1016/S0304-3878(02)00008-1","ISSN":"03043878","abstract":"The paper presents evidence in support of a particular growth process of firms that is consistent with a missing middle in the size distribution of manufacturing firms in African countries. Firm growth is explained by size and age effects as a result of efficiency exploiting through scale enlargements and learning, but is strongly moderated by reputation effects and formal legitimation which facilitate access to output markets and resources. Complementing the model with data on growth obstacles as perceived by the owners of firms, medium sized firms are found to be strongly hurt by insufficient access to infrastructure and financial services. © 2002 Elsevier Science B.V. All rights reserved.","author":[{"dropping-particle":"","family":"Sleuwaegen","given":"Leo","non-dropping-particle":"","parse-names":false,"suffix":""},{"dropping-particle":"","family":"Goedhuys","given":"Micheline","non-dropping-particle":"","parse-names":false,"suffix":""}],"container-title":"Journal of Development Economics","id":"ITEM-1","issue":"1","issued":{"date-parts":[["2002"]]},"page":"117-135","title":"Growth of firms in developing countries, evidence from Côte d'Ivoire","type":"article-journal","volume":"68"},"uris":["http://www.mendeley.com/documents/?uuid=4587400f-5518-44ce-b57c-15641202f787"]}],"mendeley":{"formattedCitation":"(Sleuwaegen &amp; Goedhuys, 2002)","manualFormatting":"Sleuwaegen &amp; Goedhuys, 2002","plainTextFormattedCitation":"(Sleuwaegen &amp; Goedhuys, 2002)","previouslyFormattedCitation":"(Sleuwaegen &amp; Goedhuys, 2002)"},"properties":{"noteIndex":0},"schema":"https://github.com/citation-style-language/schema/raw/master/csl-citation.json"}</w:instrText>
      </w:r>
      <w:r w:rsidRPr="00190F7C">
        <w:fldChar w:fldCharType="separate"/>
      </w:r>
      <w:r w:rsidRPr="00190F7C">
        <w:t>Sleuwaegen &amp; Goedhuys, 2002</w:t>
      </w:r>
      <w:r w:rsidRPr="00190F7C">
        <w:fldChar w:fldCharType="end"/>
      </w:r>
      <w:r w:rsidRPr="00190F7C">
        <w:t xml:space="preserve">; Wang, 2016). However, some evidence from other studies like Mohnen et al. (2008), </w:t>
      </w:r>
      <w:r w:rsidRPr="00190F7C">
        <w:fldChar w:fldCharType="begin"/>
      </w:r>
      <w:r w:rsidRPr="00190F7C">
        <w:instrText>ADDIN CSL_CITATION {"citationItems":[{"id":"ITEM-1","itemData":{"DOI":"10.1002/ijfe.1615","ISBN":"9789289916363","ISSN":"10991158","abstract":"Using firm-level data from the Bureau van Dijk-Amadeus database, we study the relation between firms' financial structure, access to external finance, and total factor productivity in several euro area countries along the period 1995–2011. To do so, we build a synthetic indicator of financial constraints using an a priori classification based on specific firm characteristics and measures of financial pressure, and we embed it into a production equation, which controls for the endogenous relation between labour decisions and productivity innovations. We find a negative and significant estimate for the elasticity of total factor productivity with financial constraints of −18%. This effect significantly amplifies in small, young, and private companies, it is likely to persist over time, and it increased during the recent financial crisis. A counterfactual exercise shows that peripheral countries are likely to gain between 19% and 22% of their average total factor productivity from free access to finance. Results are robust to several robustness checks.","author":[{"dropping-particle":"","family":"Ferrando","given":"Annalisa","non-dropping-particle":"","parse-names":false,"suffix":""},{"dropping-particle":"","family":"Ruggieri","given":"Alessandro","non-dropping-particle":"","parse-names":false,"suffix":""}],"container-title":"International Journal of Finance and Economics","id":"ITEM-1","issue":"3","issued":{"date-parts":[["2018"]]},"number-of-pages":"257-282","title":"Financial constraints and productivity: Evidence from euro area companies","type":"book","volume":"23"},"uris":["http://www.mendeley.com/documents/?uuid=7ebe2f1f-3aa1-4018-a0e7-dea92dba34f9"]}],"mendeley":{"formattedCitation":"(Ferrando &amp; Ruggieri, 2018)","manualFormatting":"Ferrando and Ruggieri (2018)","plainTextFormattedCitation":"(Ferrando &amp; Ruggieri, 2018)","previouslyFormattedCitation":"(Ferrando &amp; Ruggieri, 2018)"},"properties":{"noteIndex":0},"schema":"https://github.com/citation-style-language/schema/raw/master/csl-citation.json"}</w:instrText>
      </w:r>
      <w:r w:rsidRPr="00190F7C">
        <w:fldChar w:fldCharType="separate"/>
      </w:r>
      <w:r w:rsidRPr="00190F7C">
        <w:t>Ferrando and Ruggieri (2018)</w:t>
      </w:r>
      <w:r w:rsidRPr="00190F7C">
        <w:fldChar w:fldCharType="end"/>
      </w:r>
      <w:r w:rsidRPr="00190F7C">
        <w:t xml:space="preserve">, and </w:t>
      </w:r>
      <w:r w:rsidRPr="00190F7C">
        <w:fldChar w:fldCharType="begin"/>
      </w:r>
      <w:r w:rsidRPr="00190F7C">
        <w:instrText>ADDIN CSL_CITATION {"citationItems":[{"id":"ITEM-1","itemData":{"DOI":"10.1108/JRF-06-2014-0085","ISSN":"09657967","abstract":"Purpose – The purpose of this study is to examine the relationship between debt level and performance among small and medium-sized enterprises (SMEs). Design/methodology/approach – Unlike the vast majority of previous research, this study uses three-stage least squares (3SLS) and fixed-effects models to analyse a comprehensive, cross-sectoral sample of 15,897 Swedish SMEs operating in five industry sectors during the 2009-2012 period. Findings – This study confirms that debt ratios, in terms of trade credit, short-term debt and long-term debt, negatively affect firm performance in terms of profitability. As a high debt ratio seems to increase the agency costs and the risk of losing control of the firm, SME owners and managers tend to finance their businesses with equity capital to a fairly high degree. Practical implications – As debt policy significantly influences firm performance, and thereby firm value and survival, SME owners and managers should focus on finding a satisfactory debt level. Originality/value – To the authors’ best knowledge, this study is among the first to use 3SLS and fixed-effects models to analyse the relationship between debt level and firm performance. Moreover, while most previous research has examined listed firms, this study highlights the issue among SMEs, which play a fundamental role in the economy.","author":[{"dropping-particle":"","family":"Yazdanfar","given":"Darush","non-dropping-particle":"","parse-names":false,"suffix":""},{"dropping-particle":"","family":"Öhman","given":"Peter","non-dropping-particle":"","parse-names":false,"suffix":""}],"container-title":"Journal of Risk Finance","id":"ITEM-1","issue":"1","issued":{"date-parts":[["2015"]]},"page":"102-118","title":"Debt financing and firm performance: an empirical study based on Swedish data","type":"article-journal","volume":"16"},"uris":["http://www.mendeley.com/documents/?uuid=02b6524c-7a56-4eab-bb26-b6d4900a2ecc"]}],"mendeley":{"formattedCitation":"(Yazdanfar &amp; Öhman, 2015)","manualFormatting":"Yazdanfar and Öhman (2015)","plainTextFormattedCitation":"(Yazdanfar &amp; Öhman, 2015)","previouslyFormattedCitation":"(Yazdanfar &amp; Öhman, 2015)"},"properties":{"noteIndex":0},"schema":"https://github.com/citation-style-language/schema/raw/master/csl-citation.json"}</w:instrText>
      </w:r>
      <w:r w:rsidRPr="00190F7C">
        <w:fldChar w:fldCharType="separate"/>
      </w:r>
      <w:r w:rsidRPr="00190F7C">
        <w:t>Yazdanfar and Öhman (2015)</w:t>
      </w:r>
      <w:r w:rsidRPr="00190F7C">
        <w:fldChar w:fldCharType="end"/>
      </w:r>
      <w:r w:rsidRPr="00190F7C">
        <w:t xml:space="preserve"> suggest that economic constraints as a yardstick for the advancement of the financial sector might not certainly lead to an optimistic result in terms of development for organizations. </w:t>
      </w:r>
    </w:p>
    <w:p w14:paraId="4D557363" w14:textId="77777777" w:rsidR="002472A9" w:rsidRDefault="002472A9" w:rsidP="00304CE2">
      <w:pPr>
        <w:ind w:firstLine="284"/>
        <w:jc w:val="both"/>
      </w:pPr>
      <w:r w:rsidRPr="00190F7C">
        <w:t xml:space="preserve">Notwithstanding, </w:t>
      </w:r>
      <w:r w:rsidRPr="00190F7C">
        <w:fldChar w:fldCharType="begin"/>
      </w:r>
      <w:r w:rsidRPr="00190F7C">
        <w:instrText>ADDIN CSL_CITATION {"citationItems":[{"id":"ITEM-1","itemData":{"DOI":"10.3390/su11195451","ISSN":"20711050","abstract":"In many developing countries, obtaining financial services at affordable rates and fair terms has been a significant challenge for small and medium enterprises (SMEs). However, this issue has not been paid much attention in Vietnam, even though SMEs account for about 95% of total enterprises and the financial market of the country has not been well developed. This study investigates the causal effects of access to finance on productivity of SMEs operating in the manufacturing sector in Vietnam. Productivity was measured as the total factor productivity (TFP) obtained by production function estimation using the Levinsohn and Petrin approach. Regarding financial accessibility, two factors covered the extent to which firms might have a bank loan or overdraft facility were employed. To study the causal inferences of access to finance on firm productivity, the research adopted the difference-in-differences (DID) approach, as well as the propensity score matching (PSM) coupled with DID technique. The empirical results indicated that improving the financial accessibility could directly enhance firm productivity. Particularly, it was shown that firms having access to a bank loan could significantly improve TFP by approximately 8.6% in the DID model and about 9% in the PSM-DID model. Meanwhile, the firm average TFP increased by approximately 12.3% and 15.7% in simple DID and PSM-DID models, respectively, when firms had an overdraft facility. These findings suggest that the government should put more effort into assisting SMEs in generating bankable projects, and create a sound and healthy financial environment to stimulate firms' access to finance, which will ensure their sustainability and growth.","author":[{"dropping-particle":"","family":"Giang","given":"Mai Huong","non-dropping-particle":"","parse-names":false,"suffix":""},{"dropping-particle":"","family":"Trung","given":"Bui Huy","non-dropping-particle":"","parse-names":false,"suffix":""},{"dropping-particle":"","family":"Yoshida","given":"Yuichiro","non-dropping-particle":"","parse-names":false,"suffix":""},{"dropping-particle":"","family":"Xuan","given":"Tran Dang","non-dropping-particle":"","parse-names":false,"suffix":""},{"dropping-particle":"","family":"Que","given":"Mai Thanh","non-dropping-particle":"","parse-names":false,"suffix":""}],"container-title":"Sustainability (Switzerland)","id":"ITEM-1","issue":"19","issued":{"date-parts":[["2019"]]},"page":"1-19","title":"The causal effect of access to finance on productivity of small and medium enterprises in Vietnam","type":"article-journal","volume":"11"},"uris":["http://www.mendeley.com/documents/?uuid=1e88b2e6-39df-444a-b1a2-4e48280ea2e0"]}],"mendeley":{"formattedCitation":"(Giang et al., 2019)","manualFormatting":"Giang et al. (2019)","plainTextFormattedCitation":"(Giang et al., 2019)","previouslyFormattedCitation":"(Giang et al., 2019)"},"properties":{"noteIndex":0},"schema":"https://github.com/citation-style-language/schema/raw/master/csl-citation.json"}</w:instrText>
      </w:r>
      <w:r w:rsidRPr="00190F7C">
        <w:fldChar w:fldCharType="separate"/>
      </w:r>
      <w:r w:rsidRPr="00190F7C">
        <w:t>Giang et al. (2019)</w:t>
      </w:r>
      <w:r w:rsidRPr="00190F7C">
        <w:fldChar w:fldCharType="end"/>
      </w:r>
      <w:r w:rsidRPr="00190F7C">
        <w:t xml:space="preserve"> found that access to finance as proxy for economic constraints significantly improved firm’s efficiency, which invariably improves CSI. In addition, they recommended that the government ought to expand laws and policies fit for firms' CSI to enable them access to finance without difficulty. It is believed that the high efforts of policymakers are essential in creating a hale and hearty economic atmosphere to inspire firms’ access to finances (Kumo, 2023). Similarly, </w:t>
      </w:r>
      <w:r w:rsidRPr="00190F7C">
        <w:fldChar w:fldCharType="begin"/>
      </w:r>
      <w:r w:rsidRPr="00190F7C">
        <w:instrText>ADDIN CSL_CITATION {"citationItems":[{"id":"ITEM-1","itemData":{"DOI":"10.1002/bse.672","ISSN":"09644733","author":[{"dropping-particle":"","family":"Amran","given":"Azlan","non-dropping-particle":"","parse-names":false,"suffix":""},{"dropping-particle":"","family":"Haniffa","given":"Roszaini","non-dropping-particle":"","parse-names":false,"suffix":""}],"container-title":"Business Strategy and the Environment","id":"ITEM-1","issue":"3","issued":{"date-parts":[["2011","3"]]},"page":"141-156","title":"Evidence in development of sustainability reporting: a case of a developing country","type":"article-journal","volume":"20"},"uris":["http://www.mendeley.com/documents/?uuid=284fa002-c29c-4ea5-bf95-a54dcdbf4f19"]}],"mendeley":{"formattedCitation":"(Amran &amp; Haniffa, 2011)","manualFormatting":"Amran and Haniffa (2011)","plainTextFormattedCitation":"(Amran &amp; Haniffa, 2011)","previouslyFormattedCitation":"(Amran &amp; Haniffa, 2011)"},"properties":{"noteIndex":0},"schema":"https://github.com/citation-style-language/schema/raw/master/csl-citation.json"}</w:instrText>
      </w:r>
      <w:r w:rsidRPr="00190F7C">
        <w:fldChar w:fldCharType="separate"/>
      </w:r>
      <w:r w:rsidRPr="00190F7C">
        <w:t>Amran and Haniffa (2011)</w:t>
      </w:r>
      <w:r w:rsidRPr="00190F7C">
        <w:fldChar w:fldCharType="end"/>
      </w:r>
      <w:r w:rsidRPr="00190F7C">
        <w:t xml:space="preserve"> found that government’s role in CSI is significantly positive to firms' finance access. They also found that companies’ dependent on government contracts as sources of access to finance contribute considerably to CSI. </w:t>
      </w:r>
    </w:p>
    <w:p w14:paraId="2BD94702" w14:textId="77777777" w:rsidR="002472A9" w:rsidRDefault="002472A9" w:rsidP="002B30EF">
      <w:pPr>
        <w:spacing w:line="276" w:lineRule="auto"/>
        <w:ind w:firstLine="284"/>
        <w:jc w:val="both"/>
      </w:pPr>
    </w:p>
    <w:p w14:paraId="293A7F93" w14:textId="62387B26" w:rsidR="002472A9" w:rsidRPr="00190F7C" w:rsidRDefault="002472A9" w:rsidP="00304CE2">
      <w:pPr>
        <w:ind w:firstLine="284"/>
        <w:jc w:val="both"/>
      </w:pPr>
      <w:r w:rsidRPr="00190F7C">
        <w:t>Hence, it is indispensable to study the effect of financial accessibility on organization growth and examine whether the firm has access to finance as an economic constraint proxy, which can improve its SI. Accordingly, a hypothesis is outlined as follows.</w:t>
      </w:r>
    </w:p>
    <w:p w14:paraId="7399530A" w14:textId="3ABFF7CA" w:rsidR="002472A9" w:rsidRPr="00190F7C" w:rsidRDefault="002472A9" w:rsidP="00D40D4E">
      <w:pPr>
        <w:ind w:firstLine="284"/>
        <w:jc w:val="both"/>
      </w:pPr>
      <w:r w:rsidRPr="004B0BF5">
        <w:rPr>
          <w:i/>
          <w:iCs/>
        </w:rPr>
        <w:t>H1:</w:t>
      </w:r>
      <w:r w:rsidRPr="00190F7C">
        <w:rPr>
          <w:b/>
          <w:bCs/>
        </w:rPr>
        <w:t xml:space="preserve"> </w:t>
      </w:r>
      <w:r w:rsidRPr="00190F7C">
        <w:rPr>
          <w:i/>
          <w:iCs/>
        </w:rPr>
        <w:t>There is a positive relationship between access to finance</w:t>
      </w:r>
      <w:r w:rsidRPr="00190F7C">
        <w:t xml:space="preserve"> </w:t>
      </w:r>
      <w:r w:rsidRPr="00190F7C">
        <w:rPr>
          <w:i/>
          <w:iCs/>
        </w:rPr>
        <w:t>and CSI</w:t>
      </w:r>
      <w:r w:rsidRPr="00190F7C">
        <w:t>.</w:t>
      </w:r>
    </w:p>
    <w:p w14:paraId="5C138DF5" w14:textId="04739BB6" w:rsidR="002472A9" w:rsidRPr="004B0BF5" w:rsidRDefault="00304CE2" w:rsidP="002B30EF">
      <w:pPr>
        <w:spacing w:before="240" w:line="276" w:lineRule="auto"/>
        <w:jc w:val="both"/>
        <w:rPr>
          <w:bCs/>
          <w:i/>
          <w:iCs/>
        </w:rPr>
      </w:pPr>
      <w:r>
        <w:rPr>
          <w:bCs/>
          <w:i/>
          <w:iCs/>
        </w:rPr>
        <w:t xml:space="preserve">2.2 </w:t>
      </w:r>
      <w:r w:rsidR="002472A9" w:rsidRPr="004B0BF5">
        <w:rPr>
          <w:bCs/>
          <w:i/>
          <w:iCs/>
        </w:rPr>
        <w:t>Competition and Corporate Sustainability Initiatives</w:t>
      </w:r>
    </w:p>
    <w:p w14:paraId="3810624A" w14:textId="77777777" w:rsidR="002472A9" w:rsidRDefault="002472A9" w:rsidP="002B30EF">
      <w:pPr>
        <w:spacing w:line="276" w:lineRule="auto"/>
        <w:jc w:val="both"/>
      </w:pPr>
    </w:p>
    <w:p w14:paraId="44512A60" w14:textId="77777777" w:rsidR="002472A9" w:rsidRDefault="002472A9" w:rsidP="00304CE2">
      <w:pPr>
        <w:ind w:firstLine="284"/>
        <w:jc w:val="both"/>
      </w:pPr>
      <w:r w:rsidRPr="00190F7C">
        <w:t xml:space="preserve">Competition may cause industry associates to adopt the approaches and initiatives of those seeming to be more successful and consequential to the cause and effect amongst these organizations. As local businesses get more globalized, they could imitate or follow other prosperous foreign businesses in an attempt to fit in with the global community (Kumo et al., 2023). </w:t>
      </w:r>
      <w:r>
        <w:t xml:space="preserve"> </w:t>
      </w:r>
      <w:r w:rsidRPr="00190F7C">
        <w:t>In order to develop a theoretical prediction regarding the relationship between competition based on the presence of foreign owners and the CSR initiatives of domestic companies, studies draw from several components of the literature. The effect of trade liberalization on economic growth has long been studied in the literature (Flammer, 2015; Frankel &amp; Romer, 1999). Although it may be difficult to compete on a cost basis, Kumo et al. (2023) noted that businesses with foreign shareholders have an edge over their rivals in their interactions with local stakeholders as a result of trade liberalization.</w:t>
      </w:r>
    </w:p>
    <w:p w14:paraId="67040961" w14:textId="77777777" w:rsidR="002472A9" w:rsidRDefault="002472A9" w:rsidP="002B30EF">
      <w:pPr>
        <w:spacing w:line="276" w:lineRule="auto"/>
        <w:ind w:firstLine="284"/>
        <w:jc w:val="both"/>
      </w:pPr>
    </w:p>
    <w:p w14:paraId="068FE341" w14:textId="20E8C500" w:rsidR="002472A9" w:rsidRPr="00190F7C" w:rsidRDefault="002472A9" w:rsidP="00304CE2">
      <w:pPr>
        <w:ind w:firstLine="284"/>
        <w:jc w:val="both"/>
      </w:pPr>
      <w:r w:rsidRPr="00190F7C">
        <w:t xml:space="preserve">In light of this, this study argues that domestic businesses could become more competitive by strengthening their ties with local customers and other international stakeholders. By stepping up their ethical and environmental initiatives, businesses can set themselves apart and create an easy trade barrier that prevents them from outperforming their rivals. For instance, the stakeholder theory of Freeman and Evan (1990) and </w:t>
      </w:r>
      <w:proofErr w:type="spellStart"/>
      <w:r w:rsidRPr="00190F7C">
        <w:t>Hörisch</w:t>
      </w:r>
      <w:proofErr w:type="spellEnd"/>
      <w:r w:rsidRPr="00190F7C">
        <w:t xml:space="preserve"> et al. (2020) contend that businesses ought to represent the interests of a wider range of stakeholders. Stakeholder theory has been used to project that CSR initiatives can play a key role in securing the resources and support that stakeholder require (Ricart et al., 2005; </w:t>
      </w:r>
      <w:proofErr w:type="spellStart"/>
      <w:r w:rsidRPr="00190F7C">
        <w:t>Suteja</w:t>
      </w:r>
      <w:proofErr w:type="spellEnd"/>
      <w:r w:rsidRPr="00190F7C">
        <w:t xml:space="preserve"> et al., 2017). In line with this, a number of extensions of stakeholder theory, including Mitchell and Lee (2019), </w:t>
      </w:r>
      <w:proofErr w:type="spellStart"/>
      <w:r w:rsidRPr="00190F7C">
        <w:t>Ranängen</w:t>
      </w:r>
      <w:proofErr w:type="spellEnd"/>
      <w:r w:rsidRPr="00190F7C">
        <w:t xml:space="preserve"> (2017), and Barney (1991), suggested that businesses might participate in CSR programs to boost their productivity as well as their reputation, status, and trust. According to Mitchell and Lee (2019), a company's ability to intensify long-term shareholder value and maintain its competitiveness in the global market depends on its ability to create shared value, which is distinct from philanthropic value. Ho (2017) and Porter and Kramer (2006) highlighted the strategic significance of considering a wider corporate environment and generating "shared value" for the institution and society.</w:t>
      </w:r>
    </w:p>
    <w:p w14:paraId="01AEF261" w14:textId="77777777" w:rsidR="002472A9" w:rsidRDefault="002472A9" w:rsidP="00304CE2">
      <w:pPr>
        <w:jc w:val="both"/>
      </w:pPr>
    </w:p>
    <w:p w14:paraId="590DF341" w14:textId="1CDA6705" w:rsidR="002472A9" w:rsidRPr="00190F7C" w:rsidRDefault="002472A9" w:rsidP="00304CE2">
      <w:pPr>
        <w:ind w:firstLine="284"/>
        <w:jc w:val="both"/>
      </w:pPr>
      <w:r w:rsidRPr="00190F7C">
        <w:t xml:space="preserve">Furthermore, CSR initiatives are a component of a company's competitive strategy and may be more important to the corporate approach than is often believed (Flammer, 2015). Businesses that compete for resources or depend on foreign investors typically explain their CSR initiatives in a way that meets their expectations in order to keep existing investors and draw in new ones (Amran &amp; </w:t>
      </w:r>
      <w:proofErr w:type="spellStart"/>
      <w:r w:rsidRPr="00190F7C">
        <w:t>Haniffa</w:t>
      </w:r>
      <w:proofErr w:type="spellEnd"/>
      <w:r w:rsidRPr="00190F7C">
        <w:t xml:space="preserve">, 2011). According to Amran and </w:t>
      </w:r>
      <w:proofErr w:type="spellStart"/>
      <w:r w:rsidRPr="00190F7C">
        <w:t>Haniffa</w:t>
      </w:r>
      <w:proofErr w:type="spellEnd"/>
      <w:r w:rsidRPr="00190F7C">
        <w:t xml:space="preserve"> (2011), the aforementioned considerations generally suggest that domestic enterprises may be able to outperform rivals based on the percentage of foreign shareholders. In response to fierce competition, businesses may increase their SI investment. Therefore, this study suggests that SI and competition based on foreign shareholders are fundamentally related.</w:t>
      </w:r>
    </w:p>
    <w:p w14:paraId="7C542594" w14:textId="06D2AEAD" w:rsidR="00E7111A" w:rsidRDefault="002472A9" w:rsidP="00D40D4E">
      <w:pPr>
        <w:ind w:firstLine="284"/>
        <w:jc w:val="both"/>
        <w:rPr>
          <w:i/>
          <w:iCs/>
        </w:rPr>
      </w:pPr>
      <w:bookmarkStart w:id="4" w:name="_Hlk104293370"/>
      <w:r w:rsidRPr="004B0BF5">
        <w:rPr>
          <w:i/>
          <w:iCs/>
        </w:rPr>
        <w:t>H2:</w:t>
      </w:r>
      <w:r w:rsidRPr="00190F7C">
        <w:rPr>
          <w:b/>
          <w:bCs/>
        </w:rPr>
        <w:t xml:space="preserve"> </w:t>
      </w:r>
      <w:r w:rsidRPr="00190F7C">
        <w:rPr>
          <w:i/>
          <w:iCs/>
        </w:rPr>
        <w:t>There is a positive relationship between competition (foreign shareholders) and CSI</w:t>
      </w:r>
      <w:bookmarkEnd w:id="4"/>
      <w:r w:rsidRPr="00190F7C">
        <w:rPr>
          <w:i/>
          <w:iCs/>
        </w:rPr>
        <w:t>.</w:t>
      </w:r>
    </w:p>
    <w:p w14:paraId="513D63A4" w14:textId="6DB96492" w:rsidR="002472A9" w:rsidRPr="004B0BF5" w:rsidRDefault="00304CE2" w:rsidP="00304CE2">
      <w:pPr>
        <w:jc w:val="both"/>
        <w:rPr>
          <w:i/>
          <w:iCs/>
        </w:rPr>
      </w:pPr>
      <w:r>
        <w:rPr>
          <w:i/>
          <w:iCs/>
        </w:rPr>
        <w:t xml:space="preserve">2.3 </w:t>
      </w:r>
      <w:r w:rsidR="002472A9" w:rsidRPr="004B0BF5">
        <w:rPr>
          <w:i/>
          <w:iCs/>
        </w:rPr>
        <w:t>Environmental Policy and Corporate Sustainability Initiatives</w:t>
      </w:r>
    </w:p>
    <w:p w14:paraId="463BE61E" w14:textId="77777777" w:rsidR="002472A9" w:rsidRDefault="002472A9" w:rsidP="00304CE2">
      <w:pPr>
        <w:jc w:val="both"/>
      </w:pPr>
    </w:p>
    <w:p w14:paraId="3B246A43" w14:textId="2BF73869" w:rsidR="002472A9" w:rsidRPr="00190F7C" w:rsidRDefault="002472A9" w:rsidP="00304CE2">
      <w:pPr>
        <w:ind w:firstLine="284"/>
        <w:jc w:val="both"/>
      </w:pPr>
      <w:r w:rsidRPr="00190F7C">
        <w:t>According to institutional theory, creating legality within corporate institutions is a common method for firms to gain societal recognition. Corporate organizations and the values of the business environment are influenced by rules and norms (</w:t>
      </w:r>
      <w:proofErr w:type="spellStart"/>
      <w:r w:rsidRPr="00190F7C">
        <w:t>Emtairah</w:t>
      </w:r>
      <w:proofErr w:type="spellEnd"/>
      <w:r w:rsidRPr="00190F7C">
        <w:t xml:space="preserve"> &amp; Mont, 2008), demonstrating that institutional theory focuses on how companies respond to the rules, conventions, and expectations of institutional field members. Powell and </w:t>
      </w:r>
      <w:proofErr w:type="spellStart"/>
      <w:r w:rsidRPr="00190F7C">
        <w:t>Colyvas</w:t>
      </w:r>
      <w:proofErr w:type="spellEnd"/>
      <w:r w:rsidRPr="00190F7C">
        <w:t xml:space="preserve"> (2008) suggested that institutional theory shapes organizations and their commercial practices. For instance, in prior studies, </w:t>
      </w:r>
      <w:r w:rsidRPr="00190F7C">
        <w:fldChar w:fldCharType="begin"/>
      </w:r>
      <w:r w:rsidRPr="00190F7C">
        <w:instrText>ADDIN CSL_CITATION {"citationItems":[{"id":"ITEM-1","itemData":{"DOI":"10.1016/j.marpol.2019.103519","ISSN":"0308597X","abstract":"Canadian ports contribute to the Canadian economy and social development. Society increasingly expects Canadian ports to balance economic growth with social and environmental impacts. In response, some Canadian ports have implemented strategic initiatives to integrate sustainability into their operations. Through participation in the Green Marine (GM) program, these ports can measure and improve their environmental performance. This study evaluated sustainability and environmental performance at 18 Canadian major ports. Twenty-five pre-defined indicators were used to identify operational trends linked to port sustainability. Annual performance reports (eight years) published by GM were analyzed to assess trends in environmental performance. All Canadian major ports participated in the GM program, but only seven proactively integrated sustainability into their operations. Sustainability initiatives included environmental policy development, environmental monitoring, proactive energy management, stakeholder engagement, incentivizing sustainability for port users, enhanced environmental reporting, and on-going research and development. All Canadian ports need to integrate sustainability and participate in GM to improve environmental performance and remain competitive in the global maritime supply chain.","author":[{"dropping-particle":"","family":"Hossain","given":"Tahazzud","non-dropping-particle":"","parse-names":false,"suffix":""},{"dropping-particle":"","family":"Adams","given":"Michelle","non-dropping-particle":"","parse-names":false,"suffix":""},{"dropping-particle":"","family":"Walker","given":"Tony R.","non-dropping-particle":"","parse-names":false,"suffix":""}],"container-title":"Marine Policy","id":"ITEM-1","issue":"October 2018","issued":{"date-parts":[["2019"]]},"page":"103519","publisher":"Elsevier Ltd","title":"Sustainability initiatives in Canadian ports","type":"article-journal","volume":"106"},"uris":["http://www.mendeley.com/documents/?uuid=787fba14-f486-454f-bc60-620f57bb35db"]}],"mendeley":{"formattedCitation":"(Hossain et al., 2019)","manualFormatting":"Hossain et al. (2019)","plainTextFormattedCitation":"(Hossain et al., 2019)","previouslyFormattedCitation":"(Hossain et al., 2019)"},"properties":{"noteIndex":0},"schema":"https://github.com/citation-style-language/schema/raw/master/csl-citation.json"}</w:instrText>
      </w:r>
      <w:r w:rsidRPr="00190F7C">
        <w:fldChar w:fldCharType="separate"/>
      </w:r>
      <w:r w:rsidRPr="00190F7C">
        <w:t>Hossain et al. (2019)</w:t>
      </w:r>
      <w:r w:rsidRPr="00190F7C">
        <w:fldChar w:fldCharType="end"/>
      </w:r>
      <w:r w:rsidRPr="00190F7C">
        <w:t xml:space="preserve"> reported that seven major Canadian ports proactively integrated SI into their operations, including ENVP development. In addition, they affirm that all integrated SI in the Canadian ports were made to improve environmental policy routine.</w:t>
      </w:r>
    </w:p>
    <w:p w14:paraId="2CCCEBBE" w14:textId="77777777" w:rsidR="00E63245" w:rsidRDefault="00E63245" w:rsidP="00304CE2">
      <w:pPr>
        <w:jc w:val="both"/>
      </w:pPr>
    </w:p>
    <w:p w14:paraId="7F0D6474" w14:textId="4C13C081" w:rsidR="002472A9" w:rsidRPr="00190F7C" w:rsidRDefault="002472A9" w:rsidP="00304CE2">
      <w:pPr>
        <w:ind w:firstLine="284"/>
        <w:jc w:val="both"/>
      </w:pPr>
      <w:r w:rsidRPr="00190F7C">
        <w:t xml:space="preserve">In Nigeria, Haladu and Bin-Nashwan (2021) found empirically that corporate attributes and SI are significantly correlated with environmental policy agencies. It supported the conclusions of Al-Farooque and </w:t>
      </w:r>
      <w:proofErr w:type="spellStart"/>
      <w:r w:rsidRPr="00190F7C">
        <w:t>Ahulu</w:t>
      </w:r>
      <w:proofErr w:type="spellEnd"/>
      <w:r w:rsidRPr="00190F7C">
        <w:t xml:space="preserve"> (2015), who showed that environmental and internal corporate policies have an impact on SI. On the basis of the aforementioned arguments, this study assumes that ENVP and SI are related. Consequently, the following hypothesis are put forth:</w:t>
      </w:r>
    </w:p>
    <w:p w14:paraId="3FD3A75C" w14:textId="77777777" w:rsidR="002472A9" w:rsidRPr="00190F7C" w:rsidRDefault="002472A9" w:rsidP="00D40D4E">
      <w:pPr>
        <w:ind w:firstLine="284"/>
        <w:jc w:val="both"/>
        <w:rPr>
          <w:i/>
          <w:iCs/>
        </w:rPr>
      </w:pPr>
      <w:bookmarkStart w:id="5" w:name="_Hlk200556222"/>
      <w:r w:rsidRPr="004B0BF5">
        <w:rPr>
          <w:i/>
          <w:iCs/>
        </w:rPr>
        <w:t>H3:</w:t>
      </w:r>
      <w:r w:rsidRPr="00190F7C">
        <w:rPr>
          <w:b/>
          <w:bCs/>
        </w:rPr>
        <w:t xml:space="preserve"> </w:t>
      </w:r>
      <w:r w:rsidRPr="00190F7C">
        <w:rPr>
          <w:i/>
          <w:iCs/>
        </w:rPr>
        <w:t>There is a positive relationship between</w:t>
      </w:r>
      <w:r w:rsidRPr="00190F7C">
        <w:t xml:space="preserve"> e</w:t>
      </w:r>
      <w:r w:rsidRPr="00190F7C">
        <w:rPr>
          <w:i/>
          <w:iCs/>
        </w:rPr>
        <w:t>nvironmental policy and CSI</w:t>
      </w:r>
      <w:bookmarkEnd w:id="5"/>
      <w:r w:rsidRPr="00190F7C">
        <w:rPr>
          <w:i/>
          <w:iCs/>
        </w:rPr>
        <w:t>.</w:t>
      </w:r>
    </w:p>
    <w:p w14:paraId="4922E659" w14:textId="77777777" w:rsidR="00E7111A" w:rsidRDefault="00E7111A" w:rsidP="00304CE2">
      <w:pPr>
        <w:jc w:val="both"/>
        <w:rPr>
          <w:i/>
          <w:iCs/>
        </w:rPr>
      </w:pPr>
    </w:p>
    <w:p w14:paraId="35C83995" w14:textId="087B0DD1" w:rsidR="002472A9" w:rsidRPr="004B0BF5" w:rsidRDefault="00E7111A" w:rsidP="00304CE2">
      <w:pPr>
        <w:jc w:val="both"/>
        <w:rPr>
          <w:i/>
          <w:iCs/>
        </w:rPr>
      </w:pPr>
      <w:r>
        <w:rPr>
          <w:i/>
          <w:iCs/>
        </w:rPr>
        <w:t xml:space="preserve">2.4 </w:t>
      </w:r>
      <w:r w:rsidR="002472A9" w:rsidRPr="004B0BF5">
        <w:rPr>
          <w:i/>
          <w:iCs/>
        </w:rPr>
        <w:t>Company Size and Corporate Sustainability Initiatives</w:t>
      </w:r>
    </w:p>
    <w:p w14:paraId="70B63879" w14:textId="77777777" w:rsidR="00E63245" w:rsidRDefault="00E63245" w:rsidP="00304CE2">
      <w:pPr>
        <w:ind w:firstLine="720"/>
        <w:jc w:val="both"/>
      </w:pPr>
    </w:p>
    <w:p w14:paraId="5D55D5B4" w14:textId="059CF02A" w:rsidR="002472A9" w:rsidRPr="00190F7C" w:rsidRDefault="002472A9" w:rsidP="00304CE2">
      <w:pPr>
        <w:ind w:firstLine="284"/>
        <w:jc w:val="both"/>
      </w:pPr>
      <w:r w:rsidRPr="00190F7C">
        <w:t xml:space="preserve">Many large businesses are changing their stance on sustainability as they become more proactive than reactive on social and environmental issues </w:t>
      </w:r>
      <w:r w:rsidRPr="00190F7C">
        <w:fldChar w:fldCharType="begin"/>
      </w:r>
      <w:r w:rsidRPr="00190F7C">
        <w:instrText>ADDIN CSL_CITATION {"citationItems":[{"id":"ITEM-1","itemData":{"DOI":"10.1186/s41180-017-0016-5","abstract":"Today's corporations are increasingly implementing responsible behaviours as they pursue profit-making activities. A thorosugh literature review suggests that there is a link between corporate social responsibility (CSR) or corporate social performance (CSP) and financial performance. In addition, there are relevant theoretical underpinnings and empirical studies that have often used other concepts, including corporate citizenship, stakeholder management and business ethics. In this light, this contribution reports on how CSR is continuously evolving to reflect contemporary societal realities. At the same time, it critically analyses some of the latest value-based CSR constructs. This review paper puts forward a conceptual framework for corporate sustainability and responsibility. It suggests that responsible business practices create economic and societal value by re-aligning their corporate objectives with stakeholder management and environmental responsibility.","author":[{"dropping-particle":"","family":"Camilleri","given":"Mark Anthony","non-dropping-particle":"","parse-names":false,"suffix":""}],"container-title":"Asian Journal of Sustainability and Social Responsibility","id":"ITEM-1","issue":"1","issued":{"date-parts":[["2017"]]},"page":"59-74","title":"Corporate sustainability and responsibility: creating value for business, society and the environment","type":"article-journal","volume":"2"},"uris":["http://www.mendeley.com/documents/?uuid=7bef91b8-5de5-4444-bf46-e4368a3e37f9"]}],"mendeley":{"formattedCitation":"(Camilleri, 2017)","plainTextFormattedCitation":"(Camilleri, 2017)","previouslyFormattedCitation":"(Camilleri, 2017)"},"properties":{"noteIndex":0},"schema":"https://github.com/citation-style-language/schema/raw/master/csl-citation.json"}</w:instrText>
      </w:r>
      <w:r w:rsidRPr="00190F7C">
        <w:fldChar w:fldCharType="separate"/>
      </w:r>
      <w:r w:rsidRPr="00190F7C">
        <w:t>(Camilleri, 2017)</w:t>
      </w:r>
      <w:r w:rsidRPr="00190F7C">
        <w:fldChar w:fldCharType="end"/>
      </w:r>
      <w:r w:rsidRPr="00190F7C">
        <w:t xml:space="preserve">. Usually, a firm’s size is used as a visibility proxy (Branco &amp; Rodrigues, 2006), as larger firms are more visible. Therefore, they are pressured to legitimize their business activities to initiate a better sustainability practice. Additionally, larger companies can afford to pay for CSR initiatives because they have more financial resources (Rodriguez-Fernandez, 2016; Ho &amp; Taylor, 2007). The positive relationship between the firm’s size and SI has been recorded by numerous empirical studies, </w:t>
      </w:r>
      <w:r w:rsidRPr="00190F7C">
        <w:fldChar w:fldCharType="begin"/>
      </w:r>
      <w:r w:rsidRPr="00190F7C">
        <w:instrText>ADDIN CSL_CITATION {"citationItems":[{"id":"ITEM-1","itemData":{"DOI":"10.1177/1086026618756611","ISBN":"1086026618756","ISSN":"15527417","abstract":"With growing evidence of positive relationships between social sustainability and financial performance, there is a critical need for understanding how innovative organizations integrate sustainability and tie theory to practice. The research in this study uses a sample of Fortune 500 firms simultaneously listed in the Newsweek Green rankings, The Corporate Knights Global 100, and the 100 Best Corporate Citizens lists. The analysis from this purposeful sample of leading firms reveals positive relationships between the management of sustainability practices leading to improved social sustainability performance and firm financial performance constructs. The results of this study advance construct and item development involving sustainability management and social sustainability practices while testing relationships to measures of financial performance. Further advances in the field and opportunities for future research involve testing larger cross-sector samples, the development and measurement of social sustainability practices from secondary sources, longitudinal studies, and the evolving nature of organizational performance measurement.","author":[{"dropping-particle":"","family":"Sroufe","given":"Robert","non-dropping-particle":"","parse-names":false,"suffix":""},{"dropping-particle":"","family":"Gopalakrishna-Remani","given":"Venugopal","non-dropping-particle":"","parse-names":false,"suffix":""}],"container-title":"Organization and Environment","id":"ITEM-1","issue":"3","issued":{"date-parts":[["2019"]]},"number-of-pages":"331-362","title":"Management, social sustainability, reputation, and financial performance relationships: An empirical examination of U.S. firms","type":"book","volume":"32"},"uris":["http://www.mendeley.com/documents/?uuid=257d9dc7-aca1-4240-8101-f132524d3396"]}],"mendeley":{"formattedCitation":"(Sroufe &amp; Gopalakrishna-Remani, 2019)","manualFormatting":"including Sroufe and Gopalakrishna-Remani (2019)","plainTextFormattedCitation":"(Sroufe &amp; Gopalakrishna-Remani, 2019)","previouslyFormattedCitation":"(Sroufe &amp; Gopalakrishna-Remani, 2019)"},"properties":{"noteIndex":0},"schema":"https://github.com/citation-style-language/schema/raw/master/csl-citation.json"}</w:instrText>
      </w:r>
      <w:r w:rsidRPr="00190F7C">
        <w:fldChar w:fldCharType="separate"/>
      </w:r>
      <w:r w:rsidRPr="00190F7C">
        <w:t>including Sroufe and Gopalakrishna-Remani (2019)</w:t>
      </w:r>
      <w:r w:rsidRPr="00190F7C">
        <w:fldChar w:fldCharType="end"/>
      </w:r>
      <w:r w:rsidRPr="00190F7C">
        <w:t xml:space="preserve">. The works of researchers reviewed in this study found that the size of a company has a significant impact on SI vis-à-vis social and environmental issues (Pham et al., 2021; Ja’afar et al., 2021; </w:t>
      </w:r>
      <w:proofErr w:type="spellStart"/>
      <w:r w:rsidRPr="00190F7C">
        <w:t>Elijido</w:t>
      </w:r>
      <w:proofErr w:type="spellEnd"/>
      <w:r w:rsidRPr="00190F7C">
        <w:t xml:space="preserve">-Ten &amp; Tjan, 2014). Thus, a positive relationship is expected. However, </w:t>
      </w:r>
      <w:r w:rsidRPr="00190F7C">
        <w:fldChar w:fldCharType="begin"/>
      </w:r>
      <w:r w:rsidRPr="00190F7C">
        <w:instrText>ADDIN CSL_CITATION {"citationItems":[{"id":"ITEM-1","itemData":{"ISSN":"1869-2885","abstract":"This study aims to analyze the effect of company size, profitability, and leverage on the sustainability report disclosure. The data is taken from the annual sustainability report presented on the Indonesia Stock Exchange in 2015-2018. Panel data were processed using Eviews9 to obtain descriptive statistics of the Fixed Effect Method regression equation and hypothesis testing. The result of the research revealed that there was a positive effect of profitability and leverage on sustainability report disclosure, but the company size was not significant. Therefore, it concluded that the sustainability report disclosure can be improved by increasing the profitability and leverage but not by the company size. This research implied to 1) the stakeholder theory which states that companies are not entities that only operate for their own interests; however, they must provide benefits to their stakeholders and 2) the legitimacy theory which states that the company can survive if the surrounding community feels that the company conducts business activities in accordance with the values held by the community.","author":[{"dropping-particle":"","family":"Norman Thomas","given":"Gen","non-dropping-particle":"","parse-names":false,"suffix":""},{"dropping-particle":"","family":"Indriaty","given":"Lely","non-dropping-particle":"","parse-names":false,"suffix":""}],"container-title":"Talent Development &amp; Excellence","id":"ITEM-1","issue":"1","issued":{"date-parts":[["2020"]]},"page":"4700-4706","title":"The Effect Of Company Size, Profitability and Leverage On Sustainability Report Disclosure","type":"article-journal","volume":"12"},"uris":["http://www.mendeley.com/documents/?uuid=d2009cad-394d-4df3-a736-06e41a3d9f27"]}],"mendeley":{"formattedCitation":"(Norman Thomas &amp; Indriaty, 2020)","manualFormatting":"Thomas and Indriaty (2020)","plainTextFormattedCitation":"(Norman Thomas &amp; Indriaty, 2020)","previouslyFormattedCitation":"(Norman Thomas &amp; Indriaty, 2020)"},"properties":{"noteIndex":0},"schema":"https://github.com/citation-style-language/schema/raw/master/csl-citation.json"}</w:instrText>
      </w:r>
      <w:r w:rsidRPr="00190F7C">
        <w:fldChar w:fldCharType="separate"/>
      </w:r>
      <w:r w:rsidRPr="00190F7C">
        <w:t>Thomas and Indriaty (2020)</w:t>
      </w:r>
      <w:r w:rsidRPr="00190F7C">
        <w:fldChar w:fldCharType="end"/>
      </w:r>
      <w:r w:rsidRPr="00190F7C">
        <w:t xml:space="preserve"> found that company size was insignificant with SI. Therefore, it concluded that the company size could not improve the SI as found by prior research that business is associated with the extent and quality of SI (</w:t>
      </w:r>
      <w:r w:rsidRPr="00190F7C">
        <w:fldChar w:fldCharType="begin"/>
      </w:r>
      <w:r w:rsidRPr="00190F7C">
        <w:instrText>ADDIN CSL_CITATION {"citationItems":[{"id":"ITEM-1","itemData":{"DOI":"10.1177/2158244017712027","ISSN":"21582440","abstract":"Corporate sustainability is essential to long-term corporate success and for ensuring markets deliver value across society, and despite its importance, there is no clear consensus as to whether the financial performance of companies relates to their sustainability performance. The objectives of this study are to verify whether the sustainability reporting quality would affect corporate financial performance (CFP) among the firms listed on Corporate Sustainability Index (ISE) and to examine the quality of information disclosed in their sustainability reports (SR). The sample is composed of all firms listed on ISE for the period 2008 to 2014. This study considered accounting and market-based indicators and control variables. There is no clear consensus as to whether the financial performance of companies listed in sustainability indices relates to their sustainability performance. The main findings are as follows: There is no association between accounting and market-based variables and the reporting quality, and although the quality disclosure is improving throughout the years studied, the scores are still low. This is also true in the three dimensions of sustainability. We are not aware of studies examining the relationship between CFP and sustainability reporting quality, and this is the main contribution.","author":[{"dropping-particle":"","family":"Ching","given":"Hong Yuh","non-dropping-particle":"","parse-names":false,"suffix":""},{"dropping-particle":"","family":"Gerab","given":"Fábio","non-dropping-particle":"","parse-names":false,"suffix":""},{"dropping-particle":"","family":"Toste","given":"Thiago Henrique","non-dropping-particle":"","parse-names":false,"suffix":""}],"container-title":"SAGE Open","id":"ITEM-1","issue":"2","issued":{"date-parts":[["2017"]]},"title":"The Quality of Sustainability Reports and Corporate Financial Performance: Evidence From Brazilian Listed Companies","type":"article-journal","volume":"7"},"uris":["http://www.mendeley.com/documents/?uuid=72e93b0f-03f1-4407-bb68-b97e1700e422"]}],"mendeley":{"formattedCitation":"(Ching et al., 2017)","manualFormatting":"Ching et al., 2017","plainTextFormattedCitation":"(Ching et al., 2017)","previouslyFormattedCitation":"(Ching et al., 2017)"},"properties":{"noteIndex":0},"schema":"https://github.com/citation-style-language/schema/raw/master/csl-citation.json"}</w:instrText>
      </w:r>
      <w:r w:rsidRPr="00190F7C">
        <w:fldChar w:fldCharType="separate"/>
      </w:r>
      <w:r w:rsidRPr="00190F7C">
        <w:t>Ching et al., 2017</w:t>
      </w:r>
      <w:r w:rsidRPr="00190F7C">
        <w:fldChar w:fldCharType="end"/>
      </w:r>
      <w:r w:rsidRPr="00190F7C">
        <w:t xml:space="preserve">; </w:t>
      </w:r>
      <w:r w:rsidRPr="00190F7C">
        <w:fldChar w:fldCharType="begin"/>
      </w:r>
      <w:r w:rsidRPr="00190F7C">
        <w:instrText>ADDIN CSL_CITATION {"citationItems":[{"id":"ITEM-1","itemData":{"DOI":"10.1108/IJAIM-07-2021-0137","ISSN":"17589037","abstract":"Purpose: The purpose of this study is to examine the impact of board diversity (e.g. education, gender, nationality and royal family members) on voluntary corporate social responsibility (CSR) disclosure for a sample of banks listed in the Arabian Gulf Council countries. Design/methodology/approach: The authors use the Global Reporting Initiative guidelines to construct the CSR disclosure index. The empirical analysis is based on the data of banks listed in the Gulf Cooperation Council countries over the period 2011–2019. To tackle the potential issue of endogeneity, the authors apply the system generalized method of moments (GMM) estimation approach to investigate the relationship between board diversity and CSR disclosure index. Findings: The findings of the analysis show that there is a significant relationship between board diversity and the level of voluntary CSR disclosure. Specifically, the authors find that diversity captured by the education level, nationality and the presence of royal family members on board is positively associated with the level of voluntary CSR disclosure while diversity captured by the gender of board members is negatively associated with the level of voluntary CSR disclosure. Practical implications: The regulators, policymakers, stakeholders and the board of directors become aware of the diversity mechanisms that must be used to promote CSR practices in the banking sector of Arabian Gulf countries. Originality/value: The authors extend the existing literature by providing empirical evidence on the association between board diversity and voluntary CSR disclosure practices of banks operating in the Arabian Gulf countries. This study also highlights that board gender diversity may have a different impact on voluntary CSR disclosure between developed countries and developing countries. This paper also provides preliminary evidence on the importance of education level, the presence of foreign and royal directors on board to influence CSR practices of banks operating in the Arabian Gulf countries.","author":[{"dropping-particle":"","family":"Issa","given":"Ayman","non-dropping-particle":"","parse-names":false,"suffix":""},{"dropping-particle":"","family":"Zaid","given":"Mohammad A.A.","non-dropping-particle":"","parse-names":false,"suffix":""},{"dropping-particle":"","family":"Hanaysha","given":"Jalal Rajeh","non-dropping-particle":"","parse-names":false,"suffix":""},{"dropping-particle":"","family":"Gull","given":"Ammar Ali","non-dropping-particle":"","parse-names":false,"suffix":""}],"container-title":"International Journal of Accounting and Information Management","id":"ITEM-1","issue":"1","issued":{"date-parts":[["2022"]]},"page":"22-46","title":"An examination of board diversity and corporate social responsibility disclosure: evidence from banking sector in the Arabian Gulf countries","type":"article-journal","volume":"30"},"uris":["http://www.mendeley.com/documents/?uuid=a50d4bac-5fbd-4b70-b1f3-b3a9a7dcf477"]}],"mendeley":{"formattedCitation":"(Issa et al., 2022)","manualFormatting":"(Issa et al., 2022","plainTextFormattedCitation":"(Issa et al., 2022)","previouslyFormattedCitation":"(Issa et al., 2022)"},"properties":{"noteIndex":0},"schema":"https://github.com/citation-style-language/schema/raw/master/csl-citation.json"}</w:instrText>
      </w:r>
      <w:r w:rsidRPr="00190F7C">
        <w:fldChar w:fldCharType="separate"/>
      </w:r>
      <w:r w:rsidRPr="00190F7C">
        <w:t>Issa et al., 2022</w:t>
      </w:r>
      <w:r w:rsidRPr="00190F7C">
        <w:fldChar w:fldCharType="end"/>
      </w:r>
      <w:r w:rsidRPr="00190F7C">
        <w:t>).</w:t>
      </w:r>
    </w:p>
    <w:p w14:paraId="41C0E430" w14:textId="77777777" w:rsidR="00E63245" w:rsidRDefault="00E63245" w:rsidP="00304CE2">
      <w:pPr>
        <w:jc w:val="both"/>
        <w:rPr>
          <w:lang w:eastAsia="en-MY"/>
        </w:rPr>
      </w:pPr>
    </w:p>
    <w:p w14:paraId="40F44CA8" w14:textId="68BD505D" w:rsidR="002472A9" w:rsidRPr="00190F7C" w:rsidRDefault="002472A9" w:rsidP="00304CE2">
      <w:pPr>
        <w:ind w:firstLine="284"/>
        <w:jc w:val="both"/>
        <w:rPr>
          <w:lang w:eastAsia="en-MY"/>
        </w:rPr>
      </w:pPr>
      <w:r w:rsidRPr="00190F7C">
        <w:rPr>
          <w:lang w:eastAsia="en-MY"/>
        </w:rPr>
        <w:t xml:space="preserve">In light of the aforementioned, DiMaggio and Powell (2000) attest those larger businesses are more vulnerable to sustainability practices than smaller ones. Numerous academics, like Schnackenberg and Tomlinson (2016) and Aguilar-Fernández and </w:t>
      </w:r>
      <w:proofErr w:type="spellStart"/>
      <w:r w:rsidRPr="00190F7C">
        <w:rPr>
          <w:lang w:eastAsia="en-MY"/>
        </w:rPr>
        <w:t>Otegi</w:t>
      </w:r>
      <w:proofErr w:type="spellEnd"/>
      <w:r w:rsidRPr="00190F7C">
        <w:rPr>
          <w:lang w:eastAsia="en-MY"/>
        </w:rPr>
        <w:t xml:space="preserve">-Olaso (2018), have supported the claim that larger firms are held to a higher standard of accountability and openness since they have more stakeholders. </w:t>
      </w:r>
      <w:r w:rsidRPr="00190F7C">
        <w:t xml:space="preserve"> </w:t>
      </w:r>
      <w:r w:rsidRPr="00190F7C">
        <w:rPr>
          <w:lang w:eastAsia="en-MY"/>
        </w:rPr>
        <w:t xml:space="preserve">In contrast, Abdulsalam and Babangida (2020) investigate how company size and sales have a major influence on the SI of Nigerian oil and gas companies. Their findings indicate that the profitability and SI of Nigerian oil and gas companies are significantly positively impacted by company size. In a similar vein, Eneh (2019) investigates the impact of business size on SI in Nigeria. </w:t>
      </w:r>
      <w:r w:rsidRPr="00190F7C">
        <w:t>The study employs the ex-post causal research design. The sample consists of 35 manufacturing companies on the NSE enumerated. The study also found that firm size positively and significantly impacts SI.</w:t>
      </w:r>
    </w:p>
    <w:p w14:paraId="772DA2F1" w14:textId="77777777" w:rsidR="002472A9" w:rsidRPr="00190F7C" w:rsidRDefault="002472A9" w:rsidP="00D40D4E">
      <w:pPr>
        <w:ind w:firstLine="284"/>
        <w:jc w:val="both"/>
        <w:rPr>
          <w:i/>
          <w:iCs/>
        </w:rPr>
      </w:pPr>
      <w:r w:rsidRPr="007F0EC2">
        <w:rPr>
          <w:i/>
          <w:iCs/>
        </w:rPr>
        <w:t>H4:</w:t>
      </w:r>
      <w:r w:rsidRPr="00190F7C">
        <w:rPr>
          <w:b/>
          <w:bCs/>
        </w:rPr>
        <w:t xml:space="preserve"> </w:t>
      </w:r>
      <w:r w:rsidRPr="00190F7C">
        <w:rPr>
          <w:i/>
          <w:iCs/>
        </w:rPr>
        <w:t>There is a positive relationship between company size and CSI</w:t>
      </w:r>
    </w:p>
    <w:p w14:paraId="1212DE16" w14:textId="77777777" w:rsidR="00E63245" w:rsidRDefault="00E63245" w:rsidP="00304CE2">
      <w:pPr>
        <w:jc w:val="both"/>
        <w:rPr>
          <w:b/>
          <w:iCs/>
        </w:rPr>
      </w:pPr>
    </w:p>
    <w:p w14:paraId="2CD0F68E" w14:textId="282D22D4" w:rsidR="002472A9" w:rsidRPr="007F0EC2" w:rsidRDefault="00304CE2" w:rsidP="00304CE2">
      <w:pPr>
        <w:jc w:val="both"/>
        <w:rPr>
          <w:bCs/>
          <w:i/>
        </w:rPr>
      </w:pPr>
      <w:r>
        <w:rPr>
          <w:bCs/>
          <w:i/>
        </w:rPr>
        <w:t>2.</w:t>
      </w:r>
      <w:r w:rsidR="00E7111A">
        <w:rPr>
          <w:bCs/>
          <w:i/>
        </w:rPr>
        <w:t>5</w:t>
      </w:r>
      <w:r>
        <w:rPr>
          <w:bCs/>
          <w:i/>
        </w:rPr>
        <w:t xml:space="preserve"> </w:t>
      </w:r>
      <w:r w:rsidR="002472A9" w:rsidRPr="007F0EC2">
        <w:rPr>
          <w:bCs/>
          <w:i/>
        </w:rPr>
        <w:t>Company Leverage and CSI</w:t>
      </w:r>
    </w:p>
    <w:p w14:paraId="23081EA7" w14:textId="77777777" w:rsidR="00E63245" w:rsidRDefault="00E63245" w:rsidP="00304CE2">
      <w:pPr>
        <w:jc w:val="both"/>
        <w:rPr>
          <w:lang w:eastAsia="en-MY"/>
        </w:rPr>
      </w:pPr>
    </w:p>
    <w:p w14:paraId="678F7AED" w14:textId="47C9C7F0" w:rsidR="002472A9" w:rsidRPr="00190F7C" w:rsidRDefault="002472A9" w:rsidP="00304CE2">
      <w:pPr>
        <w:ind w:firstLine="284"/>
        <w:jc w:val="both"/>
        <w:rPr>
          <w:lang w:eastAsia="en-MY"/>
        </w:rPr>
      </w:pPr>
      <w:r w:rsidRPr="00190F7C">
        <w:rPr>
          <w:lang w:eastAsia="en-MY"/>
        </w:rPr>
        <w:t>Stakeholder theory has also been used to elucidate on the connections between SI operations and leverage. In an effort to reduce their costs and, in turn, their capital expenditures, highly leveraged companies spread more voluntary information and rules of conduct (Chang et al., 2019). Few research has demonstrated the connection between leverage and SI, including Yang and Lai (2021) and Nazari et al. (2015). Leverage increases financial risk, which is why businesses with higher levels of leverage disclose more sustainability data (Hussan, 2016). High-leverage corporations find it difficult to raise money without providing comprehensive information, therefore they must fully disclose their leverage position in order to obtain additional funding, whether from banks or the stock market, as they are viewed as dangerous (</w:t>
      </w:r>
      <w:proofErr w:type="spellStart"/>
      <w:r w:rsidRPr="00190F7C">
        <w:rPr>
          <w:lang w:eastAsia="en-MY"/>
        </w:rPr>
        <w:t>Dell'Ariccia</w:t>
      </w:r>
      <w:proofErr w:type="spellEnd"/>
      <w:r w:rsidRPr="00190F7C">
        <w:rPr>
          <w:lang w:eastAsia="en-MY"/>
        </w:rPr>
        <w:t xml:space="preserve"> et al., 2013).</w:t>
      </w:r>
    </w:p>
    <w:p w14:paraId="38208757" w14:textId="77777777" w:rsidR="00E63245" w:rsidRDefault="00E63245" w:rsidP="002B30EF">
      <w:pPr>
        <w:spacing w:line="276" w:lineRule="auto"/>
        <w:ind w:firstLine="284"/>
        <w:jc w:val="both"/>
        <w:rPr>
          <w:lang w:eastAsia="en-MY"/>
        </w:rPr>
      </w:pPr>
    </w:p>
    <w:p w14:paraId="066BD208" w14:textId="6A396D3C" w:rsidR="002472A9" w:rsidRPr="00190F7C" w:rsidRDefault="002472A9" w:rsidP="00304CE2">
      <w:pPr>
        <w:ind w:firstLine="284"/>
        <w:jc w:val="both"/>
        <w:rPr>
          <w:lang w:eastAsia="en-MY"/>
        </w:rPr>
      </w:pPr>
      <w:r w:rsidRPr="00190F7C">
        <w:rPr>
          <w:lang w:eastAsia="en-MY"/>
        </w:rPr>
        <w:t xml:space="preserve">According to Martínez-Ferrero and García-Sánchez (2017), various research </w:t>
      </w:r>
      <w:proofErr w:type="gramStart"/>
      <w:r w:rsidRPr="00190F7C">
        <w:rPr>
          <w:lang w:eastAsia="en-MY"/>
        </w:rPr>
        <w:t>have</w:t>
      </w:r>
      <w:proofErr w:type="gramEnd"/>
      <w:r w:rsidRPr="00190F7C">
        <w:rPr>
          <w:lang w:eastAsia="en-MY"/>
        </w:rPr>
        <w:t xml:space="preserve"> found that hostile relations are supported due of the fact that corporations' sharing of sustainability information reduces as their leverage increases. Companies that have a lot of leverage are therefore more eager to disclose financial information to lenders and holders of debentures. </w:t>
      </w:r>
      <w:r w:rsidRPr="00190F7C">
        <w:t xml:space="preserve">It is a common belief that more disclosures must be made to satisfy long-term creditors and remove suspicion. </w:t>
      </w:r>
      <w:r w:rsidRPr="00190F7C">
        <w:rPr>
          <w:lang w:eastAsia="en-MY"/>
        </w:rPr>
        <w:t xml:space="preserve">Financial leverage and SI were found to be directly correlated by Yang and Lai (2021). However, </w:t>
      </w:r>
      <w:proofErr w:type="spellStart"/>
      <w:r w:rsidRPr="00190F7C">
        <w:rPr>
          <w:lang w:eastAsia="en-MY"/>
        </w:rPr>
        <w:t>Uwuigbe</w:t>
      </w:r>
      <w:proofErr w:type="spellEnd"/>
      <w:r w:rsidRPr="00190F7C">
        <w:rPr>
          <w:lang w:eastAsia="en-MY"/>
        </w:rPr>
        <w:t xml:space="preserve"> et al. (2018) found a substantial inverse association between the level of corporate environmental disclosure and firms' leverage, as measured by the debt-to-equity ratio. </w:t>
      </w:r>
      <w:r w:rsidRPr="00190F7C">
        <w:t>Creditors, yet, need a yardstick to monitor the debtor’s financial status to measure the risk involved. Financial leverage is a ratio of total debt to total assets (</w:t>
      </w:r>
      <w:proofErr w:type="spellStart"/>
      <w:r w:rsidRPr="00190F7C">
        <w:t>Orazalin</w:t>
      </w:r>
      <w:proofErr w:type="spellEnd"/>
      <w:r w:rsidRPr="00190F7C">
        <w:t xml:space="preserve"> &amp; </w:t>
      </w:r>
      <w:proofErr w:type="spellStart"/>
      <w:r w:rsidRPr="00190F7C">
        <w:t>Baydauletov</w:t>
      </w:r>
      <w:proofErr w:type="spellEnd"/>
      <w:r w:rsidRPr="00190F7C">
        <w:t>, 2020).</w:t>
      </w:r>
    </w:p>
    <w:p w14:paraId="71654103" w14:textId="77777777" w:rsidR="002472A9" w:rsidRPr="00190F7C" w:rsidRDefault="002472A9" w:rsidP="00304CE2">
      <w:pPr>
        <w:jc w:val="both"/>
        <w:rPr>
          <w:i/>
          <w:iCs/>
        </w:rPr>
      </w:pPr>
      <w:r w:rsidRPr="007F0EC2">
        <w:rPr>
          <w:i/>
          <w:iCs/>
        </w:rPr>
        <w:t>H5:</w:t>
      </w:r>
      <w:r w:rsidRPr="00190F7C">
        <w:rPr>
          <w:b/>
          <w:bCs/>
        </w:rPr>
        <w:t xml:space="preserve"> </w:t>
      </w:r>
      <w:r w:rsidRPr="00190F7C">
        <w:rPr>
          <w:i/>
          <w:iCs/>
        </w:rPr>
        <w:t>There is a positive relationship between company leverage and CSI</w:t>
      </w:r>
    </w:p>
    <w:p w14:paraId="37DC5674" w14:textId="77777777" w:rsidR="007F0EC2" w:rsidRDefault="007F0EC2" w:rsidP="00304CE2">
      <w:pPr>
        <w:jc w:val="both"/>
        <w:rPr>
          <w:b/>
          <w:color w:val="EE0000"/>
        </w:rPr>
      </w:pPr>
    </w:p>
    <w:p w14:paraId="755455A8" w14:textId="7D97C503" w:rsidR="002472A9" w:rsidRPr="007F0EC2" w:rsidRDefault="00304CE2" w:rsidP="00304CE2">
      <w:pPr>
        <w:jc w:val="both"/>
        <w:rPr>
          <w:bCs/>
          <w:i/>
          <w:iCs/>
        </w:rPr>
      </w:pPr>
      <w:r>
        <w:rPr>
          <w:bCs/>
          <w:i/>
          <w:iCs/>
        </w:rPr>
        <w:t xml:space="preserve">2.6 </w:t>
      </w:r>
      <w:r w:rsidR="002472A9" w:rsidRPr="007F0EC2">
        <w:rPr>
          <w:bCs/>
          <w:i/>
          <w:iCs/>
        </w:rPr>
        <w:t>Theoretical Framework</w:t>
      </w:r>
    </w:p>
    <w:p w14:paraId="6B0B821B" w14:textId="77777777" w:rsidR="007F0EC2" w:rsidRPr="007F0EC2" w:rsidRDefault="007F0EC2" w:rsidP="00304CE2">
      <w:pPr>
        <w:jc w:val="both"/>
      </w:pPr>
    </w:p>
    <w:p w14:paraId="3F66FB94" w14:textId="6A9ED984" w:rsidR="002472A9" w:rsidRPr="007F0EC2" w:rsidRDefault="002472A9" w:rsidP="00304CE2">
      <w:pPr>
        <w:ind w:firstLine="360"/>
        <w:jc w:val="both"/>
      </w:pPr>
      <w:r w:rsidRPr="007F0EC2">
        <w:t>This research employed Institutional and stakeholder theories to investigate the effect of institutional factors towards CSI. Institutional theory provides the validity across different domains, leading to a better understanding of CSI dynamics independent of strategic analysis (Geerts et al., 2021). On the other hand, ‘Stakeholder theory accentuates that a firm is liable to not only the providers of funds but several stakeholders as well as the society and location where it exists’(Kumo, 2023). As such, CSI can be used by companies for environmental protection and social benefit. Thus, investigating the factors that create impact on CSI in non-financial firms registered by CSRHUB in Nigeria helps this study to fill out the prevailing theoretical framework. Results from this research might be pertinent to these establishments and regulatory authorities, like the Nigerian exchange group, and the central bank of Nigeria as supervisory bodies, as they enumerate the requirement for satisfying disclosure guiding principle to strengthen community understanding of the value of CSI practices in Nigeria.</w:t>
      </w:r>
    </w:p>
    <w:p w14:paraId="1F7DDCB4" w14:textId="77777777" w:rsidR="0080532E" w:rsidRDefault="0080532E" w:rsidP="004C4AA8">
      <w:pPr>
        <w:pBdr>
          <w:top w:val="nil"/>
          <w:left w:val="nil"/>
          <w:bottom w:val="nil"/>
          <w:right w:val="nil"/>
          <w:between w:val="nil"/>
        </w:pBdr>
        <w:jc w:val="both"/>
        <w:rPr>
          <w:color w:val="000000"/>
        </w:rPr>
      </w:pPr>
    </w:p>
    <w:p w14:paraId="35EF44DB" w14:textId="1E3BFB06" w:rsidR="002B30EF" w:rsidRDefault="002B30EF" w:rsidP="002B30EF">
      <w:pPr>
        <w:numPr>
          <w:ilvl w:val="0"/>
          <w:numId w:val="2"/>
        </w:numPr>
        <w:pBdr>
          <w:top w:val="nil"/>
          <w:left w:val="nil"/>
          <w:bottom w:val="nil"/>
          <w:right w:val="nil"/>
          <w:between w:val="nil"/>
        </w:pBdr>
      </w:pPr>
      <w:r>
        <w:rPr>
          <w:b/>
          <w:color w:val="000000"/>
        </w:rPr>
        <w:t xml:space="preserve">Data and </w:t>
      </w:r>
      <w:r w:rsidR="0044779C">
        <w:rPr>
          <w:b/>
          <w:color w:val="000000"/>
        </w:rPr>
        <w:t>Methodology</w:t>
      </w:r>
    </w:p>
    <w:p w14:paraId="42EDD042" w14:textId="77777777" w:rsidR="002B30EF" w:rsidRPr="002B30EF" w:rsidRDefault="002B30EF" w:rsidP="002B30EF">
      <w:pPr>
        <w:pBdr>
          <w:top w:val="nil"/>
          <w:left w:val="nil"/>
          <w:bottom w:val="nil"/>
          <w:right w:val="nil"/>
          <w:between w:val="nil"/>
        </w:pBdr>
        <w:ind w:left="360"/>
      </w:pPr>
    </w:p>
    <w:p w14:paraId="37315296" w14:textId="77777777" w:rsidR="002B30EF" w:rsidRPr="00190F7C" w:rsidRDefault="002B30EF" w:rsidP="00304CE2">
      <w:pPr>
        <w:ind w:firstLine="284"/>
        <w:jc w:val="both"/>
      </w:pPr>
      <w:r w:rsidRPr="00190F7C">
        <w:rPr>
          <w:lang w:eastAsia="en-MY"/>
        </w:rPr>
        <w:t>The study's population consists of all non-financial companies registered on the Nigerian Exchange Group (NGX). As of December 2023, the CSRHUB consensus raters had assessed and ranked 84 financial and non-financial organizations on the NSE. Nonetheless, the sample for this study consists of the 50 non-financial sector companies in Nigeria that were assessed and rated by the CSRHUB, among others, due to their significant global contribution to the field of CSR.</w:t>
      </w:r>
      <w:r w:rsidRPr="00190F7C">
        <w:t xml:space="preserve"> </w:t>
      </w:r>
      <w:r w:rsidRPr="00190F7C">
        <w:rPr>
          <w:lang w:eastAsia="en-MY"/>
        </w:rPr>
        <w:t>The study's duration is six (6) years, from 2018 to 2023. In order to investigate the impact of CSI on non-financial sectors, an evaluation of firms' roles in supporting environmentally friendly practices has been carried out. Purposive sampling was used to select the study's samples, which requires concentrating on entities with particular structures that may provide statistics on a study issue (</w:t>
      </w:r>
      <w:proofErr w:type="spellStart"/>
      <w:r w:rsidRPr="00190F7C">
        <w:rPr>
          <w:lang w:eastAsia="en-MY"/>
        </w:rPr>
        <w:t>Etikan</w:t>
      </w:r>
      <w:proofErr w:type="spellEnd"/>
      <w:r w:rsidRPr="00190F7C">
        <w:rPr>
          <w:lang w:eastAsia="en-MY"/>
        </w:rPr>
        <w:t xml:space="preserve"> et al., 2016).</w:t>
      </w:r>
      <w:r w:rsidRPr="00190F7C">
        <w:rPr>
          <w:color w:val="000000"/>
        </w:rPr>
        <w:t xml:space="preserve"> </w:t>
      </w:r>
      <w:r w:rsidRPr="00190F7C">
        <w:t>Data for this research has been obtained from a secondary source to determine the proportion of contributions and disparity in SI among the sampled companies. Secondary data have been collected to ease the process of retrieving the information from (corporate annual reports, company websites, and stand-alone reports) for the fifty (50) identified sampled based on CSRHUB recognition, quoted companies from 2018 to 2023 and third-party data from the website.</w:t>
      </w:r>
    </w:p>
    <w:p w14:paraId="7A3A13D7" w14:textId="77777777" w:rsidR="002B30EF" w:rsidRPr="00190F7C" w:rsidRDefault="002B30EF" w:rsidP="002B30EF">
      <w:pPr>
        <w:jc w:val="both"/>
        <w:rPr>
          <w:b/>
        </w:rPr>
      </w:pPr>
    </w:p>
    <w:p w14:paraId="211806A9" w14:textId="6D3B8E8F" w:rsidR="002B30EF" w:rsidRPr="007F0EC2" w:rsidRDefault="002B30EF" w:rsidP="002B30EF">
      <w:pPr>
        <w:jc w:val="both"/>
        <w:rPr>
          <w:bCs/>
          <w:i/>
          <w:iCs/>
        </w:rPr>
      </w:pPr>
      <w:r w:rsidRPr="007F0EC2">
        <w:rPr>
          <w:bCs/>
          <w:i/>
          <w:iCs/>
        </w:rPr>
        <w:t>3.1 Variables Measurement</w:t>
      </w:r>
    </w:p>
    <w:p w14:paraId="3D14656F" w14:textId="77777777" w:rsidR="002B30EF" w:rsidRDefault="002B30EF" w:rsidP="002B30EF">
      <w:pPr>
        <w:jc w:val="both"/>
      </w:pPr>
    </w:p>
    <w:p w14:paraId="1098A21E" w14:textId="426DF6CE" w:rsidR="002B30EF" w:rsidRDefault="002B30EF" w:rsidP="00304CE2">
      <w:pPr>
        <w:ind w:firstLine="284"/>
        <w:jc w:val="both"/>
      </w:pPr>
      <w:r w:rsidRPr="00190F7C">
        <w:t xml:space="preserve">The reports from publicly traded Nigerian companies on their CSR efforts are valuable sources of information. Reading every area of an annual report is essential to ensure that all SI are precise and comprehensive. A keyword search has been used to verify the legitimacy and completeness of these SI items by utilizing terms such as employee benefits, environmental protection, health and safety, ESG considerations, etc. The final checklist elements used to evaluate the extent of SI by companies are SI checklist items. Afterwards, the SI index was calculated. Previous studies have used a variety of methods to calculate the SI index. </w:t>
      </w:r>
      <w:bookmarkStart w:id="6" w:name="_Hlk127977754"/>
      <w:r w:rsidRPr="00190F7C">
        <w:t>The disclosure index was utilized in this study (</w:t>
      </w:r>
      <w:proofErr w:type="spellStart"/>
      <w:r w:rsidRPr="00190F7C">
        <w:t>Haniffa</w:t>
      </w:r>
      <w:proofErr w:type="spellEnd"/>
      <w:r w:rsidRPr="00190F7C">
        <w:t xml:space="preserve"> &amp; Cooke, 2002; 2005; </w:t>
      </w:r>
      <w:r w:rsidRPr="00190F7C">
        <w:fldChar w:fldCharType="begin"/>
      </w:r>
      <w:r w:rsidRPr="00190F7C">
        <w:instrText>ADDIN CSL_CITATION {"citationItems":[{"id":"ITEM-1","itemData":{"DOI":"10.1108/SRJ-08-2020-0310","ISSN":"1758857X","abstract":"Purpose: Following the introduction of the revised Malaysian Code on Corporate Governance in 2012 (MCCG 2012), this study aims to investigate the influence of corporate governance structure on the quality of sustainability reporting from the perspectives of agency theory and resource dependence theory. Design/methodology/approach: Based on an analysis of 126 firms’ annual reports for the year ended 2010 and 2014, this study analyses sustainability reporting quality before the introduction of MCCG, 2012 (year ended 2010) and after (year ended 2014). Findings: The findings of the study show that there was a significant increase in the quality of sustainability reporting from 2010 to 2014. Results from multiple regression analyses indicate that the number of sustainability-related training attended by the board of directors and the percentage of directors with sustainability-related experience have a significant impact on the quality of sustainability reporting. Practical implications: Observations from the study provide useful insights into the importance of the appointment of directors with sustainability-related experience as part of the criteria for directors’ appointment. Moreover, the board of directors is encouraged to attend sustainability-related training to help firms improve sustainability practices and reporting. Social implications: The increase in the quality of sustainability reporting indicates that companies are committed in ensuring that environmental degradation is put at the minimum level if not eliminated. It appears that companies are embracing the concept of sustainability reporting, and hence, contributing to improving and enhancing social well-being. Originality/value: This study contributes to the discussion of both internal mechanisms (board independence and board capital) and external mechanisms (compliance to the code on corporate governance) of corporate governance structure on the quality of sustainability reporting. The findings can be used to identify necessary mechanisms that should be enhanced to strengthen the practice of sustainability reporting.","author":[{"dropping-particle":"","family":"Jamil","given":"Amira","non-dropping-particle":"","parse-names":false,"suffix":""},{"dropping-particle":"","family":"Mohd Ghazali","given":"Nazli Anum","non-dropping-particle":"","parse-names":false,"suffix":""},{"dropping-particle":"","family":"Nelson","given":"Sherliza Puat","non-dropping-particle":"","parse-names":false,"suffix":""}],"container-title":"Social Responsibility Journal","id":"ITEM-1","issue":"8","issued":{"date-parts":[["2021"]]},"page":"1251-1278","title":"The influence of corporate governance structure on sustainability reporting in Malaysia","type":"article-journal","volume":"17"},"uris":["http://www.mendeley.com/documents/?uuid=a222a202-3f54-43b5-984c-0d7a44012eb0"]}],"mendeley":{"formattedCitation":"(Jamil et al., 2021)","manualFormatting":"Jamil et al., 2021;","plainTextFormattedCitation":"(Jamil et al., 2021)","previouslyFormattedCitation":"(Jamil et al., 2021)"},"properties":{"noteIndex":0},"schema":"https://github.com/citation-style-language/schema/raw/master/csl-citation.json"}</w:instrText>
      </w:r>
      <w:r w:rsidRPr="00190F7C">
        <w:fldChar w:fldCharType="separate"/>
      </w:r>
      <w:r w:rsidRPr="00190F7C">
        <w:t>Jamil et al., 2021;</w:t>
      </w:r>
      <w:r w:rsidRPr="00190F7C">
        <w:fldChar w:fldCharType="end"/>
      </w:r>
      <w:r w:rsidRPr="00190F7C">
        <w:t xml:space="preserve"> </w:t>
      </w:r>
      <w:r w:rsidRPr="00190F7C">
        <w:fldChar w:fldCharType="begin"/>
      </w:r>
      <w:r w:rsidRPr="00190F7C">
        <w:instrText>ADDIN CSL_CITATION {"citationItems":[{"id":"ITEM-1","itemData":{"DOI":"10.1108/02686901011054881","ISSN":"0268-6902","abstract":"Purpose – The aim of this paper is to explore corporate social responsibility (CSR) disclosure and its relation to institutional ownership (IO) of Malaysian public listed companies (PLCs).Design/methodology/approach – Testing of hypotheses have been conducted by applying multivariate regression techniques utilizing longitudinal data analysis of companies' annual reports. Two well‐established models, the fixed effects model and random effects model are conducted in this paper.Findings – Results which confirmed earlier estimations indicated that there are positive and significant relationships between CSR disclosure (CSRD) and IO. This result suggests that Malaysian PLCs are able to attract and maintain their institutional investors while they engage in social activities.Practical implications – Companies should be encouraged to be involved in CSR activities as one of their strategies in attracting investment as well as to improve their reputation and image.Originality/value – Most studies on CSRD in Malays...","author":[{"dropping-particle":"","family":"Saleh","given":"Mustaruddin","non-dropping-particle":"","parse-names":false,"suffix":""},{"dropping-particle":"","family":"Zulkifli","given":"Norhayah","non-dropping-particle":"","parse-names":false,"suffix":""},{"dropping-particle":"","family":"Muhamad","given":"Rusnah","non-dropping-particle":"","parse-names":false,"suffix":""}],"container-title":"Managerial Auditing Journal","id":"ITEM-1","issue":"6","issued":{"date-parts":[["2010"]]},"page":"591-613","title":"Corporate social responsibility disclosure and its relation on institutional ownership","type":"article-journal","volume":"25"},"uris":["http://www.mendeley.com/documents/?uuid=54d1f020-92a9-424c-b718-fb68ca77f215"]}],"mendeley":{"formattedCitation":"(Saleh et al., 2010)","manualFormatting":"Saleh et al., 2010;","plainTextFormattedCitation":"(Saleh et al., 2010)","previouslyFormattedCitation":"(Saleh et al., 2010)"},"properties":{"noteIndex":0},"schema":"https://github.com/citation-style-language/schema/raw/master/csl-citation.json"}</w:instrText>
      </w:r>
      <w:r w:rsidRPr="00190F7C">
        <w:fldChar w:fldCharType="separate"/>
      </w:r>
      <w:r w:rsidRPr="00190F7C">
        <w:t>Saleh et al., 2010;</w:t>
      </w:r>
      <w:r w:rsidRPr="00190F7C">
        <w:fldChar w:fldCharType="end"/>
      </w:r>
      <w:r w:rsidRPr="00190F7C">
        <w:t xml:space="preserve"> Waheed et al., 2021).</w:t>
      </w:r>
      <w:bookmarkEnd w:id="6"/>
    </w:p>
    <w:p w14:paraId="000E2938" w14:textId="77777777" w:rsidR="00CC6A02" w:rsidRDefault="00CC6A02" w:rsidP="00304CE2">
      <w:pPr>
        <w:ind w:firstLine="284"/>
        <w:jc w:val="both"/>
      </w:pPr>
    </w:p>
    <w:p w14:paraId="77EC81F5" w14:textId="77777777" w:rsidR="002B30EF" w:rsidRDefault="002B30EF" w:rsidP="002B30EF">
      <w:pPr>
        <w:ind w:firstLine="284"/>
        <w:jc w:val="both"/>
        <w:rPr>
          <w:lang w:eastAsia="en-MY"/>
        </w:rPr>
      </w:pPr>
      <w:r w:rsidRPr="00190F7C">
        <w:rPr>
          <w:lang w:eastAsia="en-MY"/>
        </w:rPr>
        <w:t>Furthermore, to quantify SI as a binary variable, companies are listed as "1" if they reported SI items in their annual report, and “0” if otherwise (Gujarati &amp; Porter, 2009). Every SI sub-score, including the 14 economic, 12 social, 15 environmental, and 15 governance dimensions, was combined to determine the overall score values for SI disclosure. Further, the aggregate scores were computed and the disclosure model scoring is additive.</w:t>
      </w:r>
    </w:p>
    <w:p w14:paraId="5DF22162" w14:textId="77777777" w:rsidR="002B30EF" w:rsidRDefault="002B30EF" w:rsidP="002B30EF">
      <w:pPr>
        <w:ind w:firstLine="284"/>
        <w:jc w:val="both"/>
        <w:rPr>
          <w:lang w:eastAsia="en-MY"/>
        </w:rPr>
      </w:pPr>
    </w:p>
    <w:p w14:paraId="2C84EAF4" w14:textId="2704C9BB" w:rsidR="002B30EF" w:rsidRDefault="002B30EF" w:rsidP="00304CE2">
      <w:pPr>
        <w:ind w:firstLine="284"/>
        <w:jc w:val="both"/>
        <w:rPr>
          <w:lang w:eastAsia="en-MY"/>
        </w:rPr>
      </w:pPr>
      <w:r w:rsidRPr="00190F7C">
        <w:t>Five autonomous variables are used, composed of Economic constraints access to finance (ACFI), competition (COMP), environmental policy (ENVP) and firm-specific operating features consisting of company size (CSZE), and leverage (LEV). Economic constraints proxies by access to finance is measured bank loan/ overdraft (</w:t>
      </w:r>
      <w:r w:rsidRPr="00190F7C">
        <w:fldChar w:fldCharType="begin"/>
      </w:r>
      <w:r w:rsidRPr="00190F7C">
        <w:instrText>ADDIN CSL_CITATION {"citationItems":[{"id":"ITEM-1","itemData":{"DOI":"10.3390/su11195451","ISSN":"20711050","abstract":"In many developing countries, obtaining financial services at affordable rates and fair terms has been a significant challenge for small and medium enterprises (SMEs). However, this issue has not been paid much attention in Vietnam, even though SMEs account for about 95% of total enterprises and the financial market of the country has not been well developed. This study investigates the causal effects of access to finance on productivity of SMEs operating in the manufacturing sector in Vietnam. Productivity was measured as the total factor productivity (TFP) obtained by production function estimation using the Levinsohn and Petrin approach. Regarding financial accessibility, two factors covered the extent to which firms might have a bank loan or overdraft facility were employed. To study the causal inferences of access to finance on firm productivity, the research adopted the difference-in-differences (DID) approach, as well as the propensity score matching (PSM) coupled with DID technique. The empirical results indicated that improving the financial accessibility could directly enhance firm productivity. Particularly, it was shown that firms having access to a bank loan could significantly improve TFP by approximately 8.6% in the DID model and about 9% in the PSM-DID model. Meanwhile, the firm average TFP increased by approximately 12.3% and 15.7% in simple DID and PSM-DID models, respectively, when firms had an overdraft facility. These findings suggest that the government should put more effort into assisting SMEs in generating bankable projects, and create a sound and healthy financial environment to stimulate firms' access to finance, which will ensure their sustainability and growth.","author":[{"dropping-particle":"","family":"Giang","given":"Mai Huong","non-dropping-particle":"","parse-names":false,"suffix":""},{"dropping-particle":"","family":"Trung","given":"Bui Huy","non-dropping-particle":"","parse-names":false,"suffix":""},{"dropping-particle":"","family":"Yoshida","given":"Yuichiro","non-dropping-particle":"","parse-names":false,"suffix":""},{"dropping-particle":"","family":"Xuan","given":"Tran Dang","non-dropping-particle":"","parse-names":false,"suffix":""},{"dropping-particle":"","family":"Que","given":"Mai Thanh","non-dropping-particle":"","parse-names":false,"suffix":""}],"container-title":"Sustainability (Switzerland)","id":"ITEM-1","issue":"19","issued":{"date-parts":[["2019"]]},"page":"1-19","title":"The causal effect of access to finance on productivity of small and medium enterprises in Vietnam","type":"article-journal","volume":"11"},"uris":["http://www.mendeley.com/documents/?uuid=1e88b2e6-39df-444a-b1a2-4e48280ea2e0"]}],"mendeley":{"formattedCitation":"(Giang et al., 2019)","manualFormatting":"Giang et al., 2019)","plainTextFormattedCitation":"(Giang et al., 2019)","previouslyFormattedCitation":"(Giang et al., 2019)"},"properties":{"noteIndex":0},"schema":"https://github.com/citation-style-language/schema/raw/master/csl-citation.json"}</w:instrText>
      </w:r>
      <w:r w:rsidRPr="00190F7C">
        <w:fldChar w:fldCharType="separate"/>
      </w:r>
      <w:r w:rsidRPr="00190F7C">
        <w:t>Giang et al., 2019)</w:t>
      </w:r>
      <w:r w:rsidRPr="00190F7C">
        <w:fldChar w:fldCharType="end"/>
      </w:r>
      <w:r w:rsidRPr="00190F7C">
        <w:t>. Similarly, competition</w:t>
      </w:r>
      <w:r w:rsidRPr="00190F7C">
        <w:rPr>
          <w:color w:val="000000"/>
          <w:lang w:val="en-US"/>
        </w:rPr>
        <w:t xml:space="preserve"> is measured as</w:t>
      </w:r>
      <w:r w:rsidRPr="00190F7C">
        <w:rPr>
          <w:lang w:val="en-US"/>
        </w:rPr>
        <w:t xml:space="preserve"> dummy variable ‘1’ is present, and ‘0’ if otherwise</w:t>
      </w:r>
      <w:r w:rsidRPr="00190F7C">
        <w:rPr>
          <w:color w:val="000000"/>
          <w:lang w:val="en-US"/>
        </w:rPr>
        <w:t xml:space="preserve"> </w:t>
      </w:r>
      <w:r w:rsidRPr="00190F7C">
        <w:rPr>
          <w:lang w:val="en-US"/>
        </w:rPr>
        <w:t xml:space="preserve">whether domestic companies have foreign shareholders </w:t>
      </w:r>
      <w:r w:rsidRPr="00190F7C">
        <w:t xml:space="preserve">(Amran &amp; </w:t>
      </w:r>
      <w:proofErr w:type="spellStart"/>
      <w:r w:rsidRPr="00190F7C">
        <w:t>Haniffa</w:t>
      </w:r>
      <w:proofErr w:type="spellEnd"/>
      <w:r w:rsidRPr="00190F7C">
        <w:t xml:space="preserve">, 2011; </w:t>
      </w:r>
      <w:r w:rsidRPr="00190F7C">
        <w:fldChar w:fldCharType="begin"/>
      </w:r>
      <w:r w:rsidRPr="00190F7C">
        <w:instrText>ADDIN CSL_CITATION {"citationItems":[{"id":"ITEM-1","itemData":{"DOI":"10.1002/smj.2307","ISSN":"10970266","abstract":"This study examines whether product market competition affects corporate social responsibility (CSR). To obtain exogenous variation in product market competition, I exploit a quasi-natural experiment provided by large import tariff reductions that occurred between 1992 and 2005 in the U.S. manufacturing sector. Using a difference-in-differences methodology, I find that domestic companies respond to tariff reductions by increasing their engagement in CSR. This finding supports the view of \"CSR as a competitive strategy\" that allows companies to differentiate themselves from their foreign rivals. Overall, my results highlight that trade liberalization is an important factor that shapes CSR practices.","author":[{"dropping-particle":"","family":"Flammer","given":"Caroline","non-dropping-particle":"","parse-names":false,"suffix":""}],"container-title":"Strategic Management Journal","id":"ITEM-1","issue":"10","issued":{"date-parts":[["2015"]]},"page":"1469-1485","title":"Does product market competition foster corporate social responsibility? Evidence from trade liberalization","type":"article-journal","volume":"36"},"uris":["http://www.mendeley.com/documents/?uuid=b4eb9f14-b349-4e2f-8816-4028b549e01e"]}],"mendeley":{"formattedCitation":"(Flammer, 2015)","manualFormatting":"Flammer, 2015","plainTextFormattedCitation":"(Flammer, 2015)","previouslyFormattedCitation":"(Flammer, 2015)"},"properties":{"noteIndex":0},"schema":"https://github.com/citation-style-language/schema/raw/master/csl-citation.json"}</w:instrText>
      </w:r>
      <w:r w:rsidRPr="00190F7C">
        <w:fldChar w:fldCharType="separate"/>
      </w:r>
      <w:r w:rsidRPr="00190F7C">
        <w:t>Flammer, 2015</w:t>
      </w:r>
      <w:r w:rsidRPr="00190F7C">
        <w:fldChar w:fldCharType="end"/>
      </w:r>
      <w:r w:rsidRPr="00190F7C">
        <w:t>).</w:t>
      </w:r>
      <w:r w:rsidRPr="00190F7C">
        <w:rPr>
          <w:lang w:val="en-US"/>
        </w:rPr>
        <w:t xml:space="preserve"> </w:t>
      </w:r>
      <w:r w:rsidRPr="00190F7C">
        <w:t xml:space="preserve">Likewise, the environmental disclosure index was used in measuring environmental policies. It ranges between ‘0’ and ‘1’, representing the disclosure indices adapted from other environmentally related information </w:t>
      </w:r>
      <w:r w:rsidRPr="00190F7C">
        <w:fldChar w:fldCharType="begin"/>
      </w:r>
      <w:r w:rsidRPr="00190F7C">
        <w:instrText>ADDIN CSL_CITATION {"citationItems":[{"id":"ITEM-1","itemData":{"ISSN":"21464138","abstract":"The Paris “Climate Deal” is an indication of the seriousness at international level,being attached to environmental degradation. The efficiencies of government environmental agencies in the disclosure of environmental information by sensitive firms in Nigeria,is what the study to examine. Covering the periods 2009 to 2014,secondary data was obtained from firms’ financial,sustainability and triple bottom line statements selected at random from six sectors of the economy. Through the use of Stata13 analytical tool,regression of the variables was carried out. The result showed an encouraging disclosure index of about 55%. In particular,all the relationships measured had significant relationships and applied the latest version of global reporting initiative (G4). Environmental agencies were also tested for their role in sustainability reporting. The study recommends nonexecutive members of the Board of Directors be educated on environmental matters so as to offset their negative impact on the disclosure of environmental information.","author":[{"dropping-particle":"","family":"Haladu","given":"Alhassan","non-dropping-particle":"","parse-names":false,"suffix":""},{"dropping-particle":"","family":"Salim","given":"Basariah Bt","non-dropping-particle":"","parse-names":false,"suffix":""}],"container-title":"International Journal of Economics and Financial Issues.","id":"ITEM-1","issue":"4","issued":{"date-parts":[["2016","8"]]},"page":"1525-1533","title":"Board Characteristics and Sustainability Reporting: Environmental Agencies’ Moderating Effects","type":"article-journal","volume":"6"},"uris":["http://www.mendeley.com/documents/?uuid=5b532228-afd6-4976-a062-0593904bfff7"]}],"mendeley":{"formattedCitation":"(Haladu &amp; Salim, 2016)","manualFormatting":"(Wiseman,1982)","plainTextFormattedCitation":"(Haladu &amp; Salim, 2016)","previouslyFormattedCitation":"(Haladu &amp; Salim, 2016)"},"properties":{"noteIndex":0},"schema":"https://github.com/citation-style-language/schema/raw/master/csl-citation.json"}</w:instrText>
      </w:r>
      <w:r w:rsidRPr="00190F7C">
        <w:fldChar w:fldCharType="separate"/>
      </w:r>
      <w:r w:rsidRPr="00190F7C">
        <w:t>(Wiseman,1982)</w:t>
      </w:r>
      <w:r w:rsidRPr="00190F7C">
        <w:fldChar w:fldCharType="end"/>
      </w:r>
      <w:r w:rsidRPr="00190F7C">
        <w:t xml:space="preserve">. In addition, natural logarithms of the firm's total assets are used in calculating company size (Crisóstomo et al., 2020; </w:t>
      </w:r>
      <w:r w:rsidRPr="00190F7C">
        <w:fldChar w:fldCharType="begin"/>
      </w:r>
      <w:r w:rsidRPr="00190F7C">
        <w:instrText>ADDIN CSL_CITATION {"citationItems":[{"id":"ITEM-1","itemData":{"DOI":"10.1007/s10551-016-3099-5","ISSN":"15730697","abstract":"The study empirically investigates the relationship between corporate governance and the triple bottom line sustainability performance through the lens of agency theory and stakeholder theory. We claim, in fact, that no single theory fully accounts for all the hypothesised relationships. We measure sustainability performance through manual content analysis on sustainability reports of the US-based companies. The study extends the existing literature by investigating the impact of selected corporate governance mechanisms on each dimension of sustainability performance, as defined by the GRI framework. Our approach allows to identify which governance mechanisms foster triple bottom line performance, also revealing that some mechanisms fit only specific dimension(s) of sustainability. The fact-based findings provide support for a new beginning in the theorising process in which the theories must try not only to provide rationale for the impact of corporate governance on sustainability, but also to explain which dimension of sustainability might be more affected. The most important implication for practitioners is the support for sustainability practices, which may be gained through implementation of particular corporate governance mechanisms. The findings contribute also to the improvement of the ongoing standard setting process, in particular as it concerns the in-depth revision of the economic dimension of sustainability carried out under the new GRI framework.","author":[{"dropping-particle":"","family":"Hussain","given":"Nazim","non-dropping-particle":"","parse-names":false,"suffix":""},{"dropping-particle":"","family":"Rigoni","given":"Ugo","non-dropping-particle":"","parse-names":false,"suffix":""},{"dropping-particle":"","family":"Orij","given":"René P.","non-dropping-particle":"","parse-names":false,"suffix":""}],"container-title":"Journal of Business Ethics","id":"ITEM-1","issue":"2","issued":{"date-parts":[["2018"]]},"page":"411-432","title":"Corporate Governance and Sustainability Performance: Analysis of Triple Bottom Line Performance","type":"article-journal","volume":"149"},"uris":["http://www.mendeley.com/documents/?uuid=647e6678-213d-4e76-b084-6efc5ee4fe33"]}],"mendeley":{"formattedCitation":"(Hussain et al., 2018)","manualFormatting":"Hussain et al., 2018","plainTextFormattedCitation":"(Hussain et al., 2018)","previouslyFormattedCitation":"(Hussain et al., 2018)"},"properties":{"noteIndex":0},"schema":"https://github.com/citation-style-language/schema/raw/master/csl-citation.json"}</w:instrText>
      </w:r>
      <w:r w:rsidRPr="00190F7C">
        <w:fldChar w:fldCharType="separate"/>
      </w:r>
      <w:r w:rsidRPr="00190F7C">
        <w:t>Hussain et al., 2018</w:t>
      </w:r>
      <w:r w:rsidRPr="00190F7C">
        <w:fldChar w:fldCharType="end"/>
      </w:r>
      <w:r w:rsidRPr="00190F7C">
        <w:t xml:space="preserve">). To quantify the leverage, a total debt is divided by total assets of the firms to get the leverage (Crisóstomo et al., 2020; </w:t>
      </w:r>
      <w:r w:rsidRPr="00190F7C">
        <w:fldChar w:fldCharType="begin"/>
      </w:r>
      <w:r w:rsidRPr="00190F7C">
        <w:instrText>ADDIN CSL_CITATION {"citationItems":[{"id":"ITEM-1","itemData":{"DOI":"10.1016/j.bar.2017.09.007","ISSN":"10958347","abstract":"Using a large cross-sectional dataset comprising of FTSE 350 listed firms, this study investigates whether superior environmental, social and corporate governance (ESG) disclosure affects firm value. We find a positive association between ESG disclosure level and firm value, suggesting that improved transparency and accountability and enhanced stakeholder trust play a role in boosting firm value. We also report that higher CEO power enhances the ESG disclosure effect on firm value, indicating that stakeholders associate ESG disclosure from firms with higher CEO power with greater commitment to ESG practice. This evidence is strong and consistent for three different measures of ESG-related disclosure: the ESG, environmental and social disclosure scores. The results are robust to the use of an instrumental variable approach, and the Heckman two-stage estimation procedure.","author":[{"dropping-particle":"","family":"Li","given":"Yiwei","non-dropping-particle":"","parse-names":false,"suffix":""},{"dropping-particle":"","family":"Gong","given":"Mengfeng","non-dropping-particle":"","parse-names":false,"suffix":""},{"dropping-particle":"","family":"Zhang","given":"Xiu Ye","non-dropping-particle":"","parse-names":false,"suffix":""},{"dropping-particle":"","family":"Koh","given":"Lenny","non-dropping-particle":"","parse-names":false,"suffix":""}],"container-title":"British Accounting Review","id":"ITEM-1","issue":"1","issued":{"date-parts":[["2018"]]},"page":"60-75","publisher":"Elsevier Ltd","title":"The impact of environmental, social, and governance disclosure on firm value: The role of CEO power","type":"article-journal","volume":"50"},"uris":["http://www.mendeley.com/documents/?uuid=382d47f1-b17c-452e-99a7-270346c27bee"]}],"mendeley":{"formattedCitation":"(Li et al., 2018)","manualFormatting":"Li et al., 2018)","plainTextFormattedCitation":"(Li et al., 2018)","previouslyFormattedCitation":"(Li et al., 2018)"},"properties":{"noteIndex":0},"schema":"https://github.com/citation-style-language/schema/raw/master/csl-citation.json"}</w:instrText>
      </w:r>
      <w:r w:rsidRPr="00190F7C">
        <w:fldChar w:fldCharType="separate"/>
      </w:r>
      <w:r w:rsidRPr="00190F7C">
        <w:t>Li et al., 2018)</w:t>
      </w:r>
      <w:r w:rsidRPr="00190F7C">
        <w:fldChar w:fldCharType="end"/>
      </w:r>
    </w:p>
    <w:p w14:paraId="7885AF0C" w14:textId="77777777" w:rsidR="002B30EF" w:rsidRPr="00190F7C" w:rsidRDefault="002B30EF" w:rsidP="00304CE2">
      <w:pPr>
        <w:ind w:firstLine="720"/>
        <w:jc w:val="both"/>
      </w:pPr>
    </w:p>
    <w:p w14:paraId="288B6C7A" w14:textId="4142788E" w:rsidR="002B30EF" w:rsidRPr="007F0EC2" w:rsidRDefault="002B30EF" w:rsidP="00304CE2">
      <w:pPr>
        <w:jc w:val="both"/>
        <w:rPr>
          <w:bCs/>
          <w:i/>
          <w:iCs/>
        </w:rPr>
      </w:pPr>
      <w:r w:rsidRPr="007F0EC2">
        <w:rPr>
          <w:bCs/>
          <w:i/>
          <w:iCs/>
        </w:rPr>
        <w:t xml:space="preserve">3.2 Model Description </w:t>
      </w:r>
    </w:p>
    <w:p w14:paraId="61732246" w14:textId="77777777" w:rsidR="002B30EF" w:rsidRPr="002B30EF" w:rsidRDefault="002B30EF" w:rsidP="00304CE2">
      <w:pPr>
        <w:jc w:val="both"/>
        <w:rPr>
          <w:b/>
        </w:rPr>
      </w:pPr>
    </w:p>
    <w:p w14:paraId="1036A7AA" w14:textId="7DBBCBEE" w:rsidR="002B30EF" w:rsidRPr="00190F7C" w:rsidRDefault="002B30EF" w:rsidP="00304CE2">
      <w:pPr>
        <w:ind w:firstLine="284"/>
        <w:jc w:val="both"/>
      </w:pPr>
      <w:r w:rsidRPr="00190F7C">
        <w:rPr>
          <w:lang w:eastAsia="en-MY"/>
        </w:rPr>
        <w:t>This study aims to assess environmental policy, institutional factors, and firm-specific characteristics, across a six-year period as predictors of SI for publicly traded non-financial enterprises. Consequently, an equation-based panel regression model was used in the investigation as</w:t>
      </w:r>
      <w:r w:rsidRPr="00190F7C">
        <w:t>:</w:t>
      </w:r>
    </w:p>
    <w:p w14:paraId="1BCAD9F6" w14:textId="77777777" w:rsidR="002B30EF" w:rsidRPr="00190F7C" w:rsidRDefault="002B30EF" w:rsidP="00304CE2">
      <w:pPr>
        <w:jc w:val="both"/>
        <w:rPr>
          <w:lang w:eastAsia="en-MY"/>
        </w:rPr>
      </w:pPr>
    </w:p>
    <w:p w14:paraId="5018647E" w14:textId="77777777" w:rsidR="002B30EF" w:rsidRPr="00190F7C" w:rsidRDefault="002B30EF" w:rsidP="00304CE2">
      <w:pPr>
        <w:jc w:val="both"/>
      </w:pPr>
      <w:proofErr w:type="spellStart"/>
      <w:r w:rsidRPr="00190F7C">
        <w:t>SI</w:t>
      </w:r>
      <w:r w:rsidRPr="00190F7C">
        <w:rPr>
          <w:i/>
          <w:iCs/>
        </w:rPr>
        <w:t>it</w:t>
      </w:r>
      <w:proofErr w:type="spellEnd"/>
      <w:r w:rsidRPr="00190F7C">
        <w:t xml:space="preserve"> = β0</w:t>
      </w:r>
      <w:r w:rsidRPr="00190F7C">
        <w:rPr>
          <w:i/>
          <w:iCs/>
        </w:rPr>
        <w:t>it</w:t>
      </w:r>
      <w:r w:rsidRPr="00190F7C">
        <w:t xml:space="preserve"> + β1ACFI</w:t>
      </w:r>
      <w:r w:rsidRPr="00190F7C">
        <w:rPr>
          <w:i/>
          <w:iCs/>
        </w:rPr>
        <w:t>it</w:t>
      </w:r>
      <w:r w:rsidRPr="00190F7C">
        <w:t xml:space="preserve"> + β2COMP</w:t>
      </w:r>
      <w:r w:rsidRPr="00190F7C">
        <w:rPr>
          <w:i/>
          <w:iCs/>
        </w:rPr>
        <w:t>it</w:t>
      </w:r>
      <w:r w:rsidRPr="00190F7C">
        <w:t xml:space="preserve"> + β3ENVP</w:t>
      </w:r>
      <w:r w:rsidRPr="00190F7C">
        <w:rPr>
          <w:i/>
          <w:iCs/>
        </w:rPr>
        <w:t>it</w:t>
      </w:r>
      <w:r w:rsidRPr="00190F7C">
        <w:t xml:space="preserve"> + β4CSZE</w:t>
      </w:r>
      <w:r w:rsidRPr="00190F7C">
        <w:rPr>
          <w:i/>
          <w:iCs/>
        </w:rPr>
        <w:t>it</w:t>
      </w:r>
      <w:r w:rsidRPr="00190F7C">
        <w:t xml:space="preserve"> + β5LEV</w:t>
      </w:r>
      <w:r w:rsidRPr="00190F7C">
        <w:rPr>
          <w:i/>
          <w:iCs/>
        </w:rPr>
        <w:t>it</w:t>
      </w:r>
      <w:r w:rsidRPr="00190F7C">
        <w:t xml:space="preserve"> + µ</w:t>
      </w:r>
      <w:proofErr w:type="spellStart"/>
      <w:r w:rsidRPr="00190F7C">
        <w:rPr>
          <w:i/>
          <w:iCs/>
        </w:rPr>
        <w:t>i</w:t>
      </w:r>
      <w:proofErr w:type="spellEnd"/>
      <w:r w:rsidRPr="00190F7C">
        <w:t xml:space="preserve"> ............. </w:t>
      </w:r>
      <w:proofErr w:type="spellStart"/>
      <w:r w:rsidRPr="00190F7C">
        <w:t>i</w:t>
      </w:r>
      <w:proofErr w:type="spellEnd"/>
      <w:r w:rsidRPr="00190F7C">
        <w:t xml:space="preserve"> </w:t>
      </w:r>
    </w:p>
    <w:p w14:paraId="52D42378" w14:textId="77777777" w:rsidR="002B30EF" w:rsidRPr="00190F7C" w:rsidRDefault="002B30EF" w:rsidP="00304CE2">
      <w:pPr>
        <w:jc w:val="both"/>
      </w:pPr>
      <w:r w:rsidRPr="00190F7C">
        <w:t xml:space="preserve">Where: </w:t>
      </w:r>
    </w:p>
    <w:p w14:paraId="2F618970" w14:textId="77777777" w:rsidR="002B30EF" w:rsidRPr="00190F7C" w:rsidRDefault="002B30EF" w:rsidP="00304CE2">
      <w:pPr>
        <w:jc w:val="both"/>
      </w:pPr>
      <w:r w:rsidRPr="00190F7C">
        <w:t xml:space="preserve">β0- symbolizes the beta coefficient value of the panel model regression </w:t>
      </w:r>
    </w:p>
    <w:p w14:paraId="4BE2552B" w14:textId="77777777" w:rsidR="002B30EF" w:rsidRPr="00190F7C" w:rsidRDefault="002B30EF" w:rsidP="00304CE2">
      <w:pPr>
        <w:jc w:val="both"/>
      </w:pPr>
      <w:r w:rsidRPr="00190F7C">
        <w:t xml:space="preserve">β1- β5 indicate beta coefficients of the descriptive variables for the study </w:t>
      </w:r>
    </w:p>
    <w:p w14:paraId="44EA3766" w14:textId="77777777" w:rsidR="002B30EF" w:rsidRPr="00190F7C" w:rsidRDefault="002B30EF" w:rsidP="00304CE2">
      <w:pPr>
        <w:jc w:val="both"/>
      </w:pPr>
      <w:r w:rsidRPr="00190F7C">
        <w:t>µ represent the regression model's error term</w:t>
      </w:r>
    </w:p>
    <w:p w14:paraId="685C29A8" w14:textId="77777777" w:rsidR="002B30EF" w:rsidRPr="00190F7C" w:rsidRDefault="002B30EF" w:rsidP="00304CE2">
      <w:pPr>
        <w:jc w:val="both"/>
      </w:pPr>
    </w:p>
    <w:p w14:paraId="32B6F78F" w14:textId="77777777" w:rsidR="002B30EF" w:rsidRPr="00190F7C" w:rsidRDefault="002B30EF" w:rsidP="00304CE2">
      <w:pPr>
        <w:jc w:val="both"/>
      </w:pPr>
      <w:r w:rsidRPr="00190F7C">
        <w:t>ACFI = dummy variable for bank loan/ overdraft, COMP =</w:t>
      </w:r>
      <w:r w:rsidRPr="00190F7C">
        <w:rPr>
          <w:lang w:val="en-US"/>
        </w:rPr>
        <w:t xml:space="preserve"> dummy variable whether domestic companies have foreign shareholders, ENVP = Dummy </w:t>
      </w:r>
      <w:r w:rsidRPr="00190F7C">
        <w:t xml:space="preserve">Environmental Disclosure Index used in measuring environmental policies.  CSZE = company size, and LEV = leverage. </w:t>
      </w:r>
      <w:proofErr w:type="spellStart"/>
      <w:r w:rsidRPr="00190F7C">
        <w:rPr>
          <w:i/>
          <w:iCs/>
        </w:rPr>
        <w:t>i</w:t>
      </w:r>
      <w:proofErr w:type="spellEnd"/>
      <w:r w:rsidRPr="00190F7C">
        <w:t xml:space="preserve"> signifies the number of firms, and </w:t>
      </w:r>
      <w:proofErr w:type="spellStart"/>
      <w:r w:rsidRPr="00190F7C">
        <w:rPr>
          <w:i/>
          <w:iCs/>
        </w:rPr>
        <w:t>t</w:t>
      </w:r>
      <w:proofErr w:type="spellEnd"/>
      <w:r w:rsidRPr="00190F7C">
        <w:t xml:space="preserve"> implies the number of years.</w:t>
      </w:r>
    </w:p>
    <w:p w14:paraId="30440783" w14:textId="77777777" w:rsidR="002B30EF" w:rsidRPr="00190F7C" w:rsidRDefault="002B30EF" w:rsidP="00304CE2">
      <w:pPr>
        <w:jc w:val="both"/>
      </w:pPr>
      <w:r w:rsidRPr="00190F7C">
        <w:t xml:space="preserve">Table 1 below presents the operational measurements and sources of variables used in the equation. </w:t>
      </w:r>
    </w:p>
    <w:p w14:paraId="42A50C53" w14:textId="77777777" w:rsidR="005B159A" w:rsidRDefault="005B159A" w:rsidP="00304CE2">
      <w:pPr>
        <w:jc w:val="both"/>
        <w:rPr>
          <w:b/>
          <w:bCs/>
        </w:rPr>
      </w:pPr>
    </w:p>
    <w:p w14:paraId="3CE0E8E8" w14:textId="717578B8" w:rsidR="002B30EF" w:rsidRPr="007F0EC2" w:rsidRDefault="002B30EF" w:rsidP="00304CE2">
      <w:pPr>
        <w:jc w:val="both"/>
      </w:pPr>
      <w:r w:rsidRPr="007F0EC2">
        <w:t>Table 1: Operational measurement of variables</w:t>
      </w:r>
    </w:p>
    <w:p w14:paraId="577C7DFE" w14:textId="77777777" w:rsidR="005B159A" w:rsidRDefault="005B159A" w:rsidP="002B30EF">
      <w:pPr>
        <w:spacing w:line="276" w:lineRule="auto"/>
        <w:jc w:val="both"/>
        <w:rPr>
          <w:b/>
          <w:bCs/>
        </w:rPr>
      </w:pPr>
    </w:p>
    <w:tbl>
      <w:tblPr>
        <w:tblW w:w="8647" w:type="dxa"/>
        <w:tblBorders>
          <w:top w:val="single" w:sz="8" w:space="0" w:color="auto"/>
          <w:bottom w:val="single" w:sz="4" w:space="0" w:color="auto"/>
          <w:insideH w:val="single" w:sz="8" w:space="0" w:color="auto"/>
        </w:tblBorders>
        <w:tblLook w:val="04A0" w:firstRow="1" w:lastRow="0" w:firstColumn="1" w:lastColumn="0" w:noHBand="0" w:noVBand="1"/>
      </w:tblPr>
      <w:tblGrid>
        <w:gridCol w:w="3708"/>
        <w:gridCol w:w="1170"/>
        <w:gridCol w:w="3769"/>
      </w:tblGrid>
      <w:tr w:rsidR="00A0614A" w:rsidRPr="00190F7C" w14:paraId="2F41ECBF" w14:textId="77777777" w:rsidTr="00A0614A">
        <w:trPr>
          <w:trHeight w:val="485"/>
        </w:trPr>
        <w:tc>
          <w:tcPr>
            <w:tcW w:w="3708" w:type="dxa"/>
            <w:vAlign w:val="center"/>
          </w:tcPr>
          <w:p w14:paraId="58AEDA20" w14:textId="77777777" w:rsidR="00A0614A" w:rsidRPr="00190F7C" w:rsidRDefault="00A0614A" w:rsidP="004716CA">
            <w:pPr>
              <w:jc w:val="both"/>
              <w:rPr>
                <w:b/>
                <w:bCs/>
                <w:color w:val="000000"/>
                <w:lang w:eastAsia="en-MY"/>
              </w:rPr>
            </w:pPr>
            <w:r w:rsidRPr="00190F7C">
              <w:rPr>
                <w:b/>
                <w:bCs/>
                <w:color w:val="000000"/>
                <w:lang w:val="en-US" w:eastAsia="en-MY"/>
              </w:rPr>
              <w:t>Dependent/Independent Variables</w:t>
            </w:r>
          </w:p>
        </w:tc>
        <w:tc>
          <w:tcPr>
            <w:tcW w:w="1170" w:type="dxa"/>
            <w:vAlign w:val="center"/>
          </w:tcPr>
          <w:p w14:paraId="46F2D72A" w14:textId="77777777" w:rsidR="00A0614A" w:rsidRPr="00190F7C" w:rsidRDefault="00A0614A" w:rsidP="004716CA">
            <w:pPr>
              <w:jc w:val="both"/>
              <w:rPr>
                <w:b/>
                <w:bCs/>
                <w:color w:val="000000"/>
                <w:lang w:eastAsia="en-MY"/>
              </w:rPr>
            </w:pPr>
            <w:r w:rsidRPr="00190F7C">
              <w:rPr>
                <w:b/>
                <w:bCs/>
                <w:color w:val="000000"/>
                <w:lang w:val="en-US" w:eastAsia="en-MY"/>
              </w:rPr>
              <w:t>Code</w:t>
            </w:r>
          </w:p>
        </w:tc>
        <w:tc>
          <w:tcPr>
            <w:tcW w:w="3769" w:type="dxa"/>
            <w:vAlign w:val="center"/>
          </w:tcPr>
          <w:p w14:paraId="6D35426B" w14:textId="77777777" w:rsidR="00A0614A" w:rsidRPr="00190F7C" w:rsidRDefault="00A0614A" w:rsidP="004716CA">
            <w:pPr>
              <w:jc w:val="both"/>
              <w:rPr>
                <w:b/>
                <w:bCs/>
                <w:color w:val="000000"/>
                <w:lang w:eastAsia="en-MY"/>
              </w:rPr>
            </w:pPr>
            <w:r w:rsidRPr="00190F7C">
              <w:rPr>
                <w:b/>
                <w:bCs/>
                <w:color w:val="000000"/>
                <w:lang w:val="en-US" w:eastAsia="en-MY"/>
              </w:rPr>
              <w:t>Measurement and sources</w:t>
            </w:r>
          </w:p>
        </w:tc>
      </w:tr>
      <w:tr w:rsidR="00A0614A" w:rsidRPr="00190F7C" w14:paraId="44671287" w14:textId="77777777" w:rsidTr="00A0614A">
        <w:trPr>
          <w:trHeight w:val="763"/>
        </w:trPr>
        <w:tc>
          <w:tcPr>
            <w:tcW w:w="3708" w:type="dxa"/>
            <w:vAlign w:val="center"/>
          </w:tcPr>
          <w:p w14:paraId="0F242831" w14:textId="77777777" w:rsidR="00A0614A" w:rsidRPr="00190F7C" w:rsidRDefault="00A0614A" w:rsidP="004716CA">
            <w:pPr>
              <w:jc w:val="both"/>
              <w:rPr>
                <w:color w:val="000000"/>
                <w:lang w:eastAsia="en-MY"/>
              </w:rPr>
            </w:pPr>
            <w:r w:rsidRPr="00190F7C">
              <w:t>Corporate Sustainability Initiatives</w:t>
            </w:r>
          </w:p>
        </w:tc>
        <w:tc>
          <w:tcPr>
            <w:tcW w:w="1170" w:type="dxa"/>
            <w:vAlign w:val="center"/>
          </w:tcPr>
          <w:p w14:paraId="79269A3E" w14:textId="77777777" w:rsidR="00A0614A" w:rsidRPr="00190F7C" w:rsidRDefault="00A0614A" w:rsidP="004716CA">
            <w:pPr>
              <w:jc w:val="both"/>
              <w:rPr>
                <w:color w:val="000000"/>
                <w:lang w:eastAsia="en-MY"/>
              </w:rPr>
            </w:pPr>
            <w:r w:rsidRPr="00190F7C">
              <w:rPr>
                <w:color w:val="000000"/>
                <w:lang w:eastAsia="en-MY"/>
              </w:rPr>
              <w:t>CSI</w:t>
            </w:r>
          </w:p>
        </w:tc>
        <w:tc>
          <w:tcPr>
            <w:tcW w:w="3769" w:type="dxa"/>
            <w:vAlign w:val="center"/>
          </w:tcPr>
          <w:p w14:paraId="58F83070" w14:textId="77777777" w:rsidR="00A0614A" w:rsidRPr="00190F7C" w:rsidRDefault="00A0614A" w:rsidP="004716CA">
            <w:pPr>
              <w:jc w:val="both"/>
              <w:rPr>
                <w:color w:val="000000"/>
                <w:lang w:eastAsia="en-MY"/>
              </w:rPr>
            </w:pPr>
            <w:r w:rsidRPr="00190F7C">
              <w:rPr>
                <w:color w:val="000000"/>
                <w:lang w:eastAsia="en-MY"/>
              </w:rPr>
              <w:t>Total score values for Sustainability disclosure are aggregated from all sub-scores of SI.</w:t>
            </w:r>
          </w:p>
        </w:tc>
      </w:tr>
    </w:tbl>
    <w:p w14:paraId="60C4EF22" w14:textId="77777777" w:rsidR="00A0614A" w:rsidRPr="00190F7C" w:rsidRDefault="00A0614A" w:rsidP="002B30EF">
      <w:pPr>
        <w:spacing w:line="276" w:lineRule="auto"/>
        <w:jc w:val="both"/>
        <w:rPr>
          <w:b/>
          <w:bCs/>
        </w:rPr>
      </w:pPr>
    </w:p>
    <w:tbl>
      <w:tblPr>
        <w:tblW w:w="8647" w:type="dxa"/>
        <w:tblLook w:val="04A0" w:firstRow="1" w:lastRow="0" w:firstColumn="1" w:lastColumn="0" w:noHBand="0" w:noVBand="1"/>
      </w:tblPr>
      <w:tblGrid>
        <w:gridCol w:w="3708"/>
        <w:gridCol w:w="1170"/>
        <w:gridCol w:w="3769"/>
      </w:tblGrid>
      <w:tr w:rsidR="002B30EF" w:rsidRPr="00190F7C" w14:paraId="7ED55944" w14:textId="77777777" w:rsidTr="00955F4B">
        <w:trPr>
          <w:trHeight w:val="485"/>
        </w:trPr>
        <w:tc>
          <w:tcPr>
            <w:tcW w:w="3708" w:type="dxa"/>
            <w:tcBorders>
              <w:top w:val="single" w:sz="8" w:space="0" w:color="auto"/>
              <w:left w:val="nil"/>
              <w:bottom w:val="single" w:sz="8" w:space="0" w:color="auto"/>
              <w:right w:val="nil"/>
            </w:tcBorders>
            <w:vAlign w:val="center"/>
          </w:tcPr>
          <w:p w14:paraId="1B53EE97" w14:textId="77777777" w:rsidR="002B30EF" w:rsidRPr="00190F7C" w:rsidRDefault="002B30EF" w:rsidP="00304CE2">
            <w:pPr>
              <w:jc w:val="both"/>
              <w:rPr>
                <w:b/>
                <w:bCs/>
                <w:color w:val="000000"/>
                <w:lang w:eastAsia="en-MY"/>
              </w:rPr>
            </w:pPr>
            <w:r w:rsidRPr="00190F7C">
              <w:rPr>
                <w:b/>
                <w:bCs/>
                <w:color w:val="000000"/>
                <w:lang w:val="en-US" w:eastAsia="en-MY"/>
              </w:rPr>
              <w:t>Dependent/Independent Variables</w:t>
            </w:r>
          </w:p>
        </w:tc>
        <w:tc>
          <w:tcPr>
            <w:tcW w:w="1170" w:type="dxa"/>
            <w:tcBorders>
              <w:top w:val="single" w:sz="8" w:space="0" w:color="auto"/>
              <w:left w:val="nil"/>
              <w:bottom w:val="single" w:sz="8" w:space="0" w:color="auto"/>
              <w:right w:val="nil"/>
            </w:tcBorders>
            <w:vAlign w:val="center"/>
          </w:tcPr>
          <w:p w14:paraId="7DF4D651" w14:textId="77777777" w:rsidR="002B30EF" w:rsidRPr="00190F7C" w:rsidRDefault="002B30EF" w:rsidP="00304CE2">
            <w:pPr>
              <w:jc w:val="both"/>
              <w:rPr>
                <w:b/>
                <w:bCs/>
                <w:color w:val="000000"/>
                <w:lang w:eastAsia="en-MY"/>
              </w:rPr>
            </w:pPr>
            <w:r w:rsidRPr="00190F7C">
              <w:rPr>
                <w:b/>
                <w:bCs/>
                <w:color w:val="000000"/>
                <w:lang w:val="en-US" w:eastAsia="en-MY"/>
              </w:rPr>
              <w:t>Code</w:t>
            </w:r>
          </w:p>
        </w:tc>
        <w:tc>
          <w:tcPr>
            <w:tcW w:w="3769" w:type="dxa"/>
            <w:tcBorders>
              <w:top w:val="single" w:sz="8" w:space="0" w:color="auto"/>
              <w:left w:val="nil"/>
              <w:bottom w:val="single" w:sz="8" w:space="0" w:color="auto"/>
              <w:right w:val="nil"/>
            </w:tcBorders>
            <w:vAlign w:val="center"/>
          </w:tcPr>
          <w:p w14:paraId="34CEDBDC" w14:textId="77777777" w:rsidR="002B30EF" w:rsidRPr="00190F7C" w:rsidRDefault="002B30EF" w:rsidP="00304CE2">
            <w:pPr>
              <w:jc w:val="both"/>
              <w:rPr>
                <w:b/>
                <w:bCs/>
                <w:color w:val="000000"/>
                <w:lang w:eastAsia="en-MY"/>
              </w:rPr>
            </w:pPr>
            <w:r w:rsidRPr="00190F7C">
              <w:rPr>
                <w:b/>
                <w:bCs/>
                <w:color w:val="000000"/>
                <w:lang w:val="en-US" w:eastAsia="en-MY"/>
              </w:rPr>
              <w:t>Measurement and sources</w:t>
            </w:r>
          </w:p>
        </w:tc>
      </w:tr>
      <w:tr w:rsidR="00CC6A02" w:rsidRPr="00190F7C" w14:paraId="55E9712D" w14:textId="77777777" w:rsidTr="00955F4B">
        <w:trPr>
          <w:trHeight w:val="763"/>
        </w:trPr>
        <w:tc>
          <w:tcPr>
            <w:tcW w:w="3708" w:type="dxa"/>
            <w:tcBorders>
              <w:top w:val="nil"/>
              <w:left w:val="nil"/>
              <w:bottom w:val="nil"/>
              <w:right w:val="nil"/>
            </w:tcBorders>
            <w:vAlign w:val="center"/>
          </w:tcPr>
          <w:p w14:paraId="10073162" w14:textId="2A5B8D20" w:rsidR="00CC6A02" w:rsidRPr="00190F7C" w:rsidRDefault="00CC6A02" w:rsidP="00CC6A02">
            <w:pPr>
              <w:jc w:val="both"/>
            </w:pPr>
            <w:r w:rsidRPr="00190F7C">
              <w:rPr>
                <w:color w:val="000000"/>
                <w:lang w:val="en-US" w:eastAsia="en-MY"/>
              </w:rPr>
              <w:t>Economic Constraints (Access to Finance)</w:t>
            </w:r>
          </w:p>
        </w:tc>
        <w:tc>
          <w:tcPr>
            <w:tcW w:w="1170" w:type="dxa"/>
            <w:tcBorders>
              <w:top w:val="nil"/>
              <w:left w:val="nil"/>
              <w:bottom w:val="nil"/>
              <w:right w:val="nil"/>
            </w:tcBorders>
            <w:vAlign w:val="center"/>
          </w:tcPr>
          <w:p w14:paraId="7EFE4188" w14:textId="1541C5AA" w:rsidR="00CC6A02" w:rsidRPr="00190F7C" w:rsidRDefault="00CC6A02" w:rsidP="00CC6A02">
            <w:pPr>
              <w:jc w:val="both"/>
              <w:rPr>
                <w:color w:val="000000"/>
                <w:lang w:eastAsia="en-MY"/>
              </w:rPr>
            </w:pPr>
            <w:r w:rsidRPr="00190F7C">
              <w:rPr>
                <w:color w:val="000000"/>
                <w:lang w:val="en-US" w:eastAsia="en-MY"/>
              </w:rPr>
              <w:t>ACFI</w:t>
            </w:r>
          </w:p>
        </w:tc>
        <w:tc>
          <w:tcPr>
            <w:tcW w:w="3769" w:type="dxa"/>
            <w:tcBorders>
              <w:top w:val="nil"/>
              <w:left w:val="nil"/>
              <w:bottom w:val="nil"/>
              <w:right w:val="nil"/>
            </w:tcBorders>
            <w:vAlign w:val="center"/>
          </w:tcPr>
          <w:p w14:paraId="7B2502CD" w14:textId="1748D7B6" w:rsidR="00CC6A02" w:rsidRPr="00190F7C" w:rsidRDefault="00CC6A02" w:rsidP="00CC6A02">
            <w:pPr>
              <w:jc w:val="both"/>
              <w:rPr>
                <w:color w:val="000000"/>
                <w:lang w:eastAsia="en-MY"/>
              </w:rPr>
            </w:pPr>
            <w:r w:rsidRPr="00190F7C">
              <w:rPr>
                <w:color w:val="000000"/>
                <w:lang w:val="en-US" w:eastAsia="en-MY"/>
              </w:rPr>
              <w:t>Dummy variable for bank loan/ overdraft (Giang et al., 2019).</w:t>
            </w:r>
          </w:p>
        </w:tc>
      </w:tr>
      <w:tr w:rsidR="00CC6A02" w:rsidRPr="00190F7C" w14:paraId="45F59C88" w14:textId="77777777" w:rsidTr="00BE0538">
        <w:trPr>
          <w:trHeight w:val="1143"/>
        </w:trPr>
        <w:tc>
          <w:tcPr>
            <w:tcW w:w="3708" w:type="dxa"/>
            <w:tcBorders>
              <w:top w:val="nil"/>
              <w:left w:val="nil"/>
              <w:bottom w:val="nil"/>
              <w:right w:val="nil"/>
            </w:tcBorders>
            <w:vAlign w:val="center"/>
          </w:tcPr>
          <w:p w14:paraId="69CA2BE1" w14:textId="77777777" w:rsidR="00CC6A02" w:rsidRPr="00190F7C" w:rsidRDefault="00CC6A02" w:rsidP="00BE0538">
            <w:pPr>
              <w:jc w:val="both"/>
              <w:rPr>
                <w:color w:val="000000"/>
                <w:lang w:eastAsia="en-MY"/>
              </w:rPr>
            </w:pPr>
            <w:r w:rsidRPr="00190F7C">
              <w:rPr>
                <w:color w:val="000000"/>
                <w:lang w:val="en-US" w:eastAsia="en-MY"/>
              </w:rPr>
              <w:t>Competition</w:t>
            </w:r>
          </w:p>
        </w:tc>
        <w:tc>
          <w:tcPr>
            <w:tcW w:w="1170" w:type="dxa"/>
            <w:tcBorders>
              <w:top w:val="nil"/>
              <w:left w:val="nil"/>
              <w:bottom w:val="nil"/>
              <w:right w:val="nil"/>
            </w:tcBorders>
            <w:vAlign w:val="center"/>
          </w:tcPr>
          <w:p w14:paraId="0C0251D9" w14:textId="77777777" w:rsidR="00CC6A02" w:rsidRPr="00190F7C" w:rsidRDefault="00CC6A02" w:rsidP="00BE0538">
            <w:pPr>
              <w:jc w:val="both"/>
              <w:rPr>
                <w:color w:val="000000"/>
                <w:lang w:eastAsia="en-MY"/>
              </w:rPr>
            </w:pPr>
            <w:r w:rsidRPr="00190F7C">
              <w:rPr>
                <w:color w:val="000000"/>
                <w:lang w:val="en-US" w:eastAsia="en-MY"/>
              </w:rPr>
              <w:t>COMP</w:t>
            </w:r>
          </w:p>
        </w:tc>
        <w:tc>
          <w:tcPr>
            <w:tcW w:w="3769" w:type="dxa"/>
            <w:tcBorders>
              <w:top w:val="nil"/>
              <w:left w:val="nil"/>
              <w:bottom w:val="nil"/>
              <w:right w:val="nil"/>
            </w:tcBorders>
            <w:vAlign w:val="center"/>
          </w:tcPr>
          <w:p w14:paraId="500AB604" w14:textId="77777777" w:rsidR="00CC6A02" w:rsidRPr="00190F7C" w:rsidRDefault="00CC6A02" w:rsidP="00BE0538">
            <w:pPr>
              <w:jc w:val="both"/>
              <w:rPr>
                <w:color w:val="000000"/>
                <w:lang w:eastAsia="en-MY"/>
              </w:rPr>
            </w:pPr>
            <w:r w:rsidRPr="00190F7C">
              <w:rPr>
                <w:color w:val="000000"/>
                <w:lang w:val="en-US" w:eastAsia="en-MY"/>
              </w:rPr>
              <w:t xml:space="preserve">Whether domestic companies have foreign shareholders, dummy variable ‘1’ is present, and ‘0’ otherwise. (Flammer, 2015; Amran &amp; </w:t>
            </w:r>
            <w:proofErr w:type="spellStart"/>
            <w:r w:rsidRPr="00190F7C">
              <w:rPr>
                <w:color w:val="000000"/>
                <w:lang w:val="en-US" w:eastAsia="en-MY"/>
              </w:rPr>
              <w:t>Haniffa</w:t>
            </w:r>
            <w:proofErr w:type="spellEnd"/>
            <w:r w:rsidRPr="00190F7C">
              <w:rPr>
                <w:color w:val="000000"/>
                <w:lang w:val="en-US" w:eastAsia="en-MY"/>
              </w:rPr>
              <w:t>, 2011).</w:t>
            </w:r>
          </w:p>
        </w:tc>
      </w:tr>
      <w:tr w:rsidR="00CC6A02" w:rsidRPr="00190F7C" w14:paraId="44662B26" w14:textId="77777777" w:rsidTr="00BE0538">
        <w:trPr>
          <w:trHeight w:val="555"/>
        </w:trPr>
        <w:tc>
          <w:tcPr>
            <w:tcW w:w="3708" w:type="dxa"/>
            <w:tcBorders>
              <w:top w:val="nil"/>
              <w:left w:val="nil"/>
              <w:bottom w:val="nil"/>
              <w:right w:val="nil"/>
            </w:tcBorders>
            <w:vAlign w:val="center"/>
          </w:tcPr>
          <w:p w14:paraId="7A82E884" w14:textId="77777777" w:rsidR="00CC6A02" w:rsidRPr="00190F7C" w:rsidRDefault="00CC6A02" w:rsidP="00BE0538">
            <w:pPr>
              <w:jc w:val="both"/>
              <w:rPr>
                <w:color w:val="000000"/>
                <w:lang w:eastAsia="en-MY"/>
              </w:rPr>
            </w:pPr>
            <w:r w:rsidRPr="00190F7C">
              <w:rPr>
                <w:color w:val="000000"/>
                <w:lang w:val="en-US" w:eastAsia="en-MY"/>
              </w:rPr>
              <w:t>Environmental Policy</w:t>
            </w:r>
          </w:p>
        </w:tc>
        <w:tc>
          <w:tcPr>
            <w:tcW w:w="1170" w:type="dxa"/>
            <w:tcBorders>
              <w:top w:val="nil"/>
              <w:left w:val="nil"/>
              <w:bottom w:val="nil"/>
              <w:right w:val="nil"/>
            </w:tcBorders>
            <w:vAlign w:val="center"/>
          </w:tcPr>
          <w:p w14:paraId="0B1F0B5D" w14:textId="77777777" w:rsidR="00CC6A02" w:rsidRPr="00190F7C" w:rsidRDefault="00CC6A02" w:rsidP="00BE0538">
            <w:pPr>
              <w:jc w:val="both"/>
              <w:rPr>
                <w:color w:val="000000"/>
                <w:lang w:eastAsia="en-MY"/>
              </w:rPr>
            </w:pPr>
            <w:r w:rsidRPr="00190F7C">
              <w:rPr>
                <w:color w:val="000000"/>
                <w:lang w:val="en-US" w:eastAsia="en-MY"/>
              </w:rPr>
              <w:t>ENVP</w:t>
            </w:r>
          </w:p>
        </w:tc>
        <w:tc>
          <w:tcPr>
            <w:tcW w:w="3769" w:type="dxa"/>
            <w:tcBorders>
              <w:top w:val="nil"/>
              <w:left w:val="nil"/>
              <w:bottom w:val="nil"/>
              <w:right w:val="nil"/>
            </w:tcBorders>
            <w:vAlign w:val="center"/>
          </w:tcPr>
          <w:p w14:paraId="4103A88E" w14:textId="77777777" w:rsidR="00CC6A02" w:rsidRPr="00190F7C" w:rsidRDefault="00CC6A02" w:rsidP="00BE0538">
            <w:pPr>
              <w:jc w:val="both"/>
              <w:rPr>
                <w:color w:val="000000"/>
                <w:lang w:eastAsia="en-MY"/>
              </w:rPr>
            </w:pPr>
            <w:r w:rsidRPr="00190F7C">
              <w:rPr>
                <w:color w:val="000000"/>
                <w:lang w:val="en-US" w:eastAsia="en-MY"/>
              </w:rPr>
              <w:t>The Environmental Disclosure Index was used in measuring environmental policies. It ranges between ‘0’ and ‘1’, representing the disclosure indices adapted from other environmentally related information (Wiseman,1982).</w:t>
            </w:r>
          </w:p>
        </w:tc>
      </w:tr>
      <w:tr w:rsidR="00CC6A02" w:rsidRPr="00190F7C" w14:paraId="46FA552C" w14:textId="77777777" w:rsidTr="00BE0538">
        <w:trPr>
          <w:trHeight w:val="585"/>
        </w:trPr>
        <w:tc>
          <w:tcPr>
            <w:tcW w:w="3708" w:type="dxa"/>
            <w:tcBorders>
              <w:top w:val="nil"/>
              <w:left w:val="nil"/>
              <w:bottom w:val="nil"/>
              <w:right w:val="nil"/>
            </w:tcBorders>
            <w:vAlign w:val="center"/>
          </w:tcPr>
          <w:p w14:paraId="1E92294C" w14:textId="77777777" w:rsidR="00CC6A02" w:rsidRPr="00190F7C" w:rsidRDefault="00CC6A02" w:rsidP="00BE0538">
            <w:pPr>
              <w:jc w:val="both"/>
              <w:rPr>
                <w:color w:val="000000"/>
                <w:lang w:eastAsia="en-MY"/>
              </w:rPr>
            </w:pPr>
            <w:r w:rsidRPr="00190F7C">
              <w:rPr>
                <w:color w:val="000000"/>
                <w:lang w:val="en-US" w:eastAsia="en-MY"/>
              </w:rPr>
              <w:t>Company Size</w:t>
            </w:r>
          </w:p>
        </w:tc>
        <w:tc>
          <w:tcPr>
            <w:tcW w:w="1170" w:type="dxa"/>
            <w:tcBorders>
              <w:top w:val="nil"/>
              <w:left w:val="nil"/>
              <w:bottom w:val="nil"/>
              <w:right w:val="nil"/>
            </w:tcBorders>
            <w:vAlign w:val="center"/>
          </w:tcPr>
          <w:p w14:paraId="68470FF0" w14:textId="77777777" w:rsidR="00CC6A02" w:rsidRPr="00190F7C" w:rsidRDefault="00CC6A02" w:rsidP="00BE0538">
            <w:pPr>
              <w:jc w:val="both"/>
              <w:rPr>
                <w:color w:val="000000"/>
                <w:lang w:eastAsia="en-MY"/>
              </w:rPr>
            </w:pPr>
            <w:r w:rsidRPr="00190F7C">
              <w:rPr>
                <w:color w:val="000000"/>
                <w:lang w:val="en-US" w:eastAsia="en-MY"/>
              </w:rPr>
              <w:t>CSZE</w:t>
            </w:r>
          </w:p>
        </w:tc>
        <w:tc>
          <w:tcPr>
            <w:tcW w:w="3769" w:type="dxa"/>
            <w:tcBorders>
              <w:top w:val="nil"/>
              <w:left w:val="nil"/>
              <w:bottom w:val="nil"/>
              <w:right w:val="nil"/>
            </w:tcBorders>
            <w:vAlign w:val="center"/>
          </w:tcPr>
          <w:p w14:paraId="093B6765" w14:textId="77777777" w:rsidR="00CC6A02" w:rsidRPr="00190F7C" w:rsidRDefault="00CC6A02" w:rsidP="00BE0538">
            <w:pPr>
              <w:jc w:val="both"/>
              <w:rPr>
                <w:color w:val="000000"/>
                <w:lang w:eastAsia="en-MY"/>
              </w:rPr>
            </w:pPr>
            <w:r w:rsidRPr="00190F7C">
              <w:rPr>
                <w:color w:val="000000"/>
                <w:lang w:val="en-US" w:eastAsia="en-MY"/>
              </w:rPr>
              <w:t>A score of total assets. (Amran et al., 2011, 2014; Issa et al., 2022)</w:t>
            </w:r>
          </w:p>
        </w:tc>
      </w:tr>
      <w:tr w:rsidR="00CC6A02" w:rsidRPr="00190F7C" w14:paraId="6F7C6F53" w14:textId="77777777" w:rsidTr="00BE0538">
        <w:trPr>
          <w:trHeight w:val="313"/>
        </w:trPr>
        <w:tc>
          <w:tcPr>
            <w:tcW w:w="3708" w:type="dxa"/>
            <w:tcBorders>
              <w:top w:val="nil"/>
              <w:left w:val="nil"/>
              <w:bottom w:val="single" w:sz="8" w:space="0" w:color="auto"/>
              <w:right w:val="nil"/>
            </w:tcBorders>
            <w:vAlign w:val="center"/>
          </w:tcPr>
          <w:p w14:paraId="0CA25DC4" w14:textId="77777777" w:rsidR="00CC6A02" w:rsidRPr="00190F7C" w:rsidRDefault="00CC6A02" w:rsidP="00BE0538">
            <w:pPr>
              <w:jc w:val="both"/>
              <w:rPr>
                <w:color w:val="000000"/>
                <w:lang w:eastAsia="en-MY"/>
              </w:rPr>
            </w:pPr>
            <w:r w:rsidRPr="00190F7C">
              <w:rPr>
                <w:color w:val="000000"/>
                <w:lang w:val="en-US" w:eastAsia="en-MY"/>
              </w:rPr>
              <w:t>Leverage</w:t>
            </w:r>
          </w:p>
        </w:tc>
        <w:tc>
          <w:tcPr>
            <w:tcW w:w="1170" w:type="dxa"/>
            <w:tcBorders>
              <w:top w:val="nil"/>
              <w:left w:val="nil"/>
              <w:bottom w:val="single" w:sz="8" w:space="0" w:color="auto"/>
              <w:right w:val="nil"/>
            </w:tcBorders>
            <w:vAlign w:val="center"/>
          </w:tcPr>
          <w:p w14:paraId="4BF3E771" w14:textId="77777777" w:rsidR="00CC6A02" w:rsidRPr="00190F7C" w:rsidRDefault="00CC6A02" w:rsidP="00BE0538">
            <w:pPr>
              <w:jc w:val="both"/>
              <w:rPr>
                <w:color w:val="000000"/>
                <w:lang w:eastAsia="en-MY"/>
              </w:rPr>
            </w:pPr>
            <w:r w:rsidRPr="00190F7C">
              <w:rPr>
                <w:color w:val="000000"/>
                <w:lang w:val="en-US" w:eastAsia="en-MY"/>
              </w:rPr>
              <w:t>LEV</w:t>
            </w:r>
          </w:p>
        </w:tc>
        <w:tc>
          <w:tcPr>
            <w:tcW w:w="3769" w:type="dxa"/>
            <w:tcBorders>
              <w:top w:val="nil"/>
              <w:left w:val="nil"/>
              <w:bottom w:val="single" w:sz="8" w:space="0" w:color="auto"/>
              <w:right w:val="nil"/>
            </w:tcBorders>
            <w:vAlign w:val="center"/>
          </w:tcPr>
          <w:p w14:paraId="6702BF94" w14:textId="77777777" w:rsidR="00CC6A02" w:rsidRPr="00190F7C" w:rsidRDefault="00CC6A02" w:rsidP="00BE0538">
            <w:pPr>
              <w:jc w:val="both"/>
              <w:rPr>
                <w:color w:val="000000"/>
                <w:lang w:eastAsia="en-MY"/>
              </w:rPr>
            </w:pPr>
            <w:r w:rsidRPr="00190F7C">
              <w:rPr>
                <w:color w:val="000000"/>
                <w:lang w:val="en-US" w:eastAsia="en-MY"/>
              </w:rPr>
              <w:t xml:space="preserve">Total debt / Total Asset </w:t>
            </w:r>
            <w:r w:rsidRPr="00190F7C">
              <w:rPr>
                <w:color w:val="000000"/>
                <w:lang w:val="en-US" w:eastAsia="en-MY"/>
              </w:rPr>
              <w:fldChar w:fldCharType="begin"/>
            </w:r>
            <w:r w:rsidRPr="00190F7C">
              <w:rPr>
                <w:color w:val="000000"/>
                <w:lang w:val="en-US" w:eastAsia="en-MY"/>
              </w:rPr>
              <w:instrText>ADDIN CSL_CITATION {"citationItems":[{"id":"ITEM-1","itemData":{"DOI":"10.1108/CG-01-2014-0003","ISSN":"14720701","abstract":"Purpose – The purpose of this study is to investigate the role of internal variables, such as strategic governance and operational controls, along with external variables that influence sustainability reporting. Design/methodology/approach – Building on the corporate governance and sustainability reporting literature, the authors develop a model to integrate external motivators and internal facilitators to determine their impact on sustainability reporting. The authors also control for a number of financial and non-financial variables that may influence sustainability reporting. The authors limit their sample to the companies in extractive industries that report their greenhouse gas emission to the Government of Canada. The authors collected the data from several data sources including secondary archival databases, newspapers, Web sites and annual reports. Findings – Using a sample of companies in high-polluting industries, the authors found that variables representing both external pressures that act as motivators and internal controls that act as facilitators are significantly associated with enhanced sustainability reporting. Practical implications – Considering the formation of several international initiatives such as International Integrated Reporting Council to improve sustainability reporting for decision-making, the authors’ research provides interesting insights both to policymakers and managers about organizational characteristics that are important to make reporting useful and relevant. Originality/value – Little academic research has investigated the role of internal variables in facilitating sustainability reporting. The authors use a robust model that combines external and internal variables to more thoroughly understand the reporting process.","author":[{"dropping-particle":"","family":"Nazari","given":"Jamal A.","non-dropping-particle":"","parse-names":false,"suffix":""},{"dropping-particle":"","family":"Herremans","given":"Irene M.","non-dropping-particle":"","parse-names":false,"suffix":""},{"dropping-particle":"","family":"Warsame","given":"Hussein A.","non-dropping-particle":"","parse-names":false,"suffix":""}],"container-title":"Corporate Governance (Bingley)","id":"ITEM-1","issue":"3","issued":{"date-parts":[["2015"]]},"page":"375-390","title":"Sustainability reporting: External motivators and internal facilitators","type":"article-journal","volume":"15"},"uris":["http://www.mendeley.com/documents/?uuid=899623c1-5793-4e24-afea-e41e2ebf86cc"]}],"mendeley":{"formattedCitation":"(Nazari et al., 2015)","plainTextFormattedCitation":"(Nazari et al., 2015)","previouslyFormattedCitation":"(Nazari et al., 2015)"},"properties":{"noteIndex":0},"schema":"https://github.com/citation-style-language/schema/raw/master/csl-citation.json"}</w:instrText>
            </w:r>
            <w:r w:rsidRPr="00190F7C">
              <w:rPr>
                <w:color w:val="000000"/>
                <w:lang w:val="en-US" w:eastAsia="en-MY"/>
              </w:rPr>
              <w:fldChar w:fldCharType="separate"/>
            </w:r>
            <w:r w:rsidRPr="00190F7C">
              <w:rPr>
                <w:color w:val="000000"/>
                <w:lang w:val="en-US" w:eastAsia="en-MY"/>
              </w:rPr>
              <w:t>(Nazari et al., 2015)</w:t>
            </w:r>
            <w:r w:rsidRPr="00190F7C">
              <w:rPr>
                <w:color w:val="000000"/>
                <w:lang w:val="en-US" w:eastAsia="en-MY"/>
              </w:rPr>
              <w:fldChar w:fldCharType="end"/>
            </w:r>
          </w:p>
        </w:tc>
      </w:tr>
    </w:tbl>
    <w:p w14:paraId="13C7A5D6" w14:textId="77777777" w:rsidR="00CC6A02" w:rsidRPr="00190F7C" w:rsidRDefault="00CC6A02" w:rsidP="00CC6A02">
      <w:pPr>
        <w:spacing w:line="276" w:lineRule="auto"/>
        <w:jc w:val="both"/>
      </w:pPr>
      <w:r w:rsidRPr="00254942">
        <w:t>Source</w:t>
      </w:r>
      <w:r w:rsidRPr="00190F7C">
        <w:t>: Author's Compilation</w:t>
      </w:r>
    </w:p>
    <w:p w14:paraId="26B39BBB" w14:textId="77777777" w:rsidR="00CC6A02" w:rsidRDefault="00CC6A02" w:rsidP="00745A95">
      <w:pPr>
        <w:pBdr>
          <w:top w:val="nil"/>
          <w:left w:val="nil"/>
          <w:bottom w:val="nil"/>
          <w:right w:val="nil"/>
          <w:between w:val="nil"/>
        </w:pBdr>
        <w:rPr>
          <w:color w:val="000000"/>
        </w:rPr>
      </w:pPr>
    </w:p>
    <w:p w14:paraId="60187015" w14:textId="2FF5D3C9" w:rsidR="00C46363" w:rsidRPr="007F0EC2" w:rsidRDefault="00CF67E3" w:rsidP="000452A4">
      <w:pPr>
        <w:numPr>
          <w:ilvl w:val="0"/>
          <w:numId w:val="2"/>
        </w:numPr>
        <w:pBdr>
          <w:top w:val="nil"/>
          <w:left w:val="nil"/>
          <w:bottom w:val="nil"/>
          <w:right w:val="nil"/>
          <w:between w:val="nil"/>
        </w:pBdr>
        <w:rPr>
          <w:b/>
        </w:rPr>
      </w:pPr>
      <w:r w:rsidRPr="007F0EC2">
        <w:rPr>
          <w:b/>
        </w:rPr>
        <w:t>Finding</w:t>
      </w:r>
    </w:p>
    <w:p w14:paraId="2490B264" w14:textId="77777777" w:rsidR="00C46363" w:rsidRDefault="00C46363" w:rsidP="00D338D8">
      <w:pPr>
        <w:pBdr>
          <w:top w:val="nil"/>
          <w:left w:val="nil"/>
          <w:bottom w:val="nil"/>
          <w:right w:val="nil"/>
          <w:between w:val="nil"/>
        </w:pBdr>
        <w:ind w:left="360"/>
        <w:rPr>
          <w:color w:val="EE0000"/>
        </w:rPr>
      </w:pPr>
    </w:p>
    <w:p w14:paraId="55B69EEE" w14:textId="77777777" w:rsidR="005B159A" w:rsidRPr="00A94FEE" w:rsidRDefault="005B159A" w:rsidP="00304CE2">
      <w:pPr>
        <w:jc w:val="both"/>
        <w:rPr>
          <w:bCs/>
          <w:i/>
          <w:iCs/>
          <w:lang w:eastAsia="en-MY"/>
        </w:rPr>
      </w:pPr>
      <w:r w:rsidRPr="00A94FEE">
        <w:rPr>
          <w:bCs/>
          <w:i/>
          <w:iCs/>
          <w:lang w:eastAsia="en-MY"/>
        </w:rPr>
        <w:t>4.1 Descriptive Statistics</w:t>
      </w:r>
    </w:p>
    <w:p w14:paraId="29D136F0" w14:textId="77777777" w:rsidR="00A94FEE" w:rsidRDefault="00A94FEE" w:rsidP="00304CE2">
      <w:pPr>
        <w:jc w:val="both"/>
      </w:pPr>
    </w:p>
    <w:p w14:paraId="1FC666D1" w14:textId="0CD97FB4" w:rsidR="005B159A" w:rsidRDefault="005B159A" w:rsidP="00304CE2">
      <w:pPr>
        <w:jc w:val="both"/>
      </w:pPr>
      <w:r w:rsidRPr="00190F7C">
        <w:t>Table 2 shows a mean value of 0.3451, a minimum of 0.0000 and a maximum of 0.5179   for the SI of the sector. The positive mean coefficient specifies that listed non-financial firms in Nigeria engage in SI by 34.51%, and some firms within the industry do not actively participate in SI, notwithstanding a maximum of 51.79% of firms have been contributing to SI.</w:t>
      </w:r>
    </w:p>
    <w:p w14:paraId="0FF29A7F" w14:textId="77777777" w:rsidR="00A94FEE" w:rsidRDefault="00A94FEE" w:rsidP="00304CE2">
      <w:pPr>
        <w:jc w:val="both"/>
      </w:pPr>
    </w:p>
    <w:p w14:paraId="19631ECB" w14:textId="2EB279AC" w:rsidR="005B159A" w:rsidRPr="00A94FEE" w:rsidRDefault="005B159A" w:rsidP="00304CE2">
      <w:pPr>
        <w:jc w:val="both"/>
      </w:pPr>
      <w:r w:rsidRPr="00A94FEE">
        <w:t>Table 2: Summary of descriptive statistics</w:t>
      </w:r>
    </w:p>
    <w:p w14:paraId="34719C80" w14:textId="77777777" w:rsidR="00A94FEE" w:rsidRPr="00190F7C" w:rsidRDefault="00A94FEE" w:rsidP="00A94FEE">
      <w:pPr>
        <w:jc w:val="both"/>
        <w:rPr>
          <w:i/>
          <w:iCs/>
        </w:rPr>
      </w:pPr>
    </w:p>
    <w:tbl>
      <w:tblPr>
        <w:tblW w:w="4558" w:type="pct"/>
        <w:tblLook w:val="04A0" w:firstRow="1" w:lastRow="0" w:firstColumn="1" w:lastColumn="0" w:noHBand="0" w:noVBand="1"/>
      </w:tblPr>
      <w:tblGrid>
        <w:gridCol w:w="1459"/>
        <w:gridCol w:w="909"/>
        <w:gridCol w:w="1429"/>
        <w:gridCol w:w="1285"/>
        <w:gridCol w:w="1312"/>
        <w:gridCol w:w="1358"/>
      </w:tblGrid>
      <w:tr w:rsidR="005B159A" w:rsidRPr="00190F7C" w14:paraId="45E1F9FC" w14:textId="77777777" w:rsidTr="00CC6A02">
        <w:trPr>
          <w:trHeight w:val="309"/>
        </w:trPr>
        <w:tc>
          <w:tcPr>
            <w:tcW w:w="941" w:type="pct"/>
            <w:tcBorders>
              <w:top w:val="single" w:sz="4" w:space="0" w:color="auto"/>
              <w:left w:val="nil"/>
              <w:bottom w:val="single" w:sz="4" w:space="0" w:color="auto"/>
              <w:right w:val="nil"/>
            </w:tcBorders>
            <w:noWrap/>
            <w:vAlign w:val="bottom"/>
          </w:tcPr>
          <w:p w14:paraId="0AA11470" w14:textId="77777777" w:rsidR="005B159A" w:rsidRPr="00190F7C" w:rsidRDefault="005B159A" w:rsidP="00D338D8">
            <w:pPr>
              <w:ind w:right="284" w:firstLine="5"/>
              <w:jc w:val="both"/>
              <w:rPr>
                <w:color w:val="000000"/>
                <w:lang w:eastAsia="en-MY"/>
              </w:rPr>
            </w:pPr>
            <w:r w:rsidRPr="00190F7C">
              <w:rPr>
                <w:color w:val="000000"/>
                <w:lang w:eastAsia="en-MY"/>
              </w:rPr>
              <w:t>Variables</w:t>
            </w:r>
          </w:p>
        </w:tc>
        <w:tc>
          <w:tcPr>
            <w:tcW w:w="586" w:type="pct"/>
            <w:tcBorders>
              <w:top w:val="single" w:sz="4" w:space="0" w:color="auto"/>
              <w:left w:val="nil"/>
              <w:bottom w:val="single" w:sz="4" w:space="0" w:color="auto"/>
              <w:right w:val="nil"/>
            </w:tcBorders>
            <w:noWrap/>
            <w:vAlign w:val="bottom"/>
          </w:tcPr>
          <w:p w14:paraId="6099B320" w14:textId="77777777" w:rsidR="005B159A" w:rsidRPr="00190F7C" w:rsidRDefault="005B159A" w:rsidP="00D338D8">
            <w:pPr>
              <w:ind w:right="284"/>
              <w:jc w:val="right"/>
              <w:rPr>
                <w:color w:val="000000"/>
                <w:lang w:eastAsia="en-MY"/>
              </w:rPr>
            </w:pPr>
            <w:proofErr w:type="spellStart"/>
            <w:r w:rsidRPr="00190F7C">
              <w:rPr>
                <w:color w:val="000000"/>
                <w:lang w:eastAsia="en-MY"/>
              </w:rPr>
              <w:t>Obs</w:t>
            </w:r>
            <w:proofErr w:type="spellEnd"/>
          </w:p>
        </w:tc>
        <w:tc>
          <w:tcPr>
            <w:tcW w:w="922" w:type="pct"/>
            <w:tcBorders>
              <w:top w:val="single" w:sz="4" w:space="0" w:color="auto"/>
              <w:left w:val="nil"/>
              <w:bottom w:val="single" w:sz="4" w:space="0" w:color="auto"/>
              <w:right w:val="nil"/>
            </w:tcBorders>
            <w:noWrap/>
            <w:vAlign w:val="bottom"/>
          </w:tcPr>
          <w:p w14:paraId="0379B370" w14:textId="77777777" w:rsidR="005B159A" w:rsidRPr="00190F7C" w:rsidRDefault="005B159A" w:rsidP="00D338D8">
            <w:pPr>
              <w:ind w:right="284"/>
              <w:jc w:val="right"/>
              <w:rPr>
                <w:color w:val="000000"/>
                <w:lang w:eastAsia="en-MY"/>
              </w:rPr>
            </w:pPr>
            <w:r w:rsidRPr="00190F7C">
              <w:rPr>
                <w:color w:val="000000"/>
                <w:lang w:eastAsia="en-MY"/>
              </w:rPr>
              <w:t xml:space="preserve">   Mean</w:t>
            </w:r>
          </w:p>
        </w:tc>
        <w:tc>
          <w:tcPr>
            <w:tcW w:w="829" w:type="pct"/>
            <w:tcBorders>
              <w:top w:val="single" w:sz="4" w:space="0" w:color="auto"/>
              <w:left w:val="nil"/>
              <w:bottom w:val="single" w:sz="4" w:space="0" w:color="auto"/>
              <w:right w:val="nil"/>
            </w:tcBorders>
            <w:noWrap/>
            <w:vAlign w:val="bottom"/>
          </w:tcPr>
          <w:p w14:paraId="6EE576DF" w14:textId="77777777" w:rsidR="005B159A" w:rsidRPr="00190F7C" w:rsidRDefault="005B159A" w:rsidP="00D338D8">
            <w:pPr>
              <w:ind w:right="284"/>
              <w:jc w:val="right"/>
              <w:rPr>
                <w:color w:val="000000"/>
                <w:lang w:eastAsia="en-MY"/>
              </w:rPr>
            </w:pPr>
            <w:r w:rsidRPr="00190F7C">
              <w:rPr>
                <w:color w:val="000000"/>
                <w:lang w:eastAsia="en-MY"/>
              </w:rPr>
              <w:t>Std. dev.</w:t>
            </w:r>
          </w:p>
        </w:tc>
        <w:tc>
          <w:tcPr>
            <w:tcW w:w="846" w:type="pct"/>
            <w:tcBorders>
              <w:top w:val="single" w:sz="4" w:space="0" w:color="auto"/>
              <w:left w:val="nil"/>
              <w:bottom w:val="single" w:sz="4" w:space="0" w:color="auto"/>
              <w:right w:val="nil"/>
            </w:tcBorders>
            <w:noWrap/>
            <w:vAlign w:val="bottom"/>
          </w:tcPr>
          <w:p w14:paraId="740E4923" w14:textId="77777777" w:rsidR="005B159A" w:rsidRPr="00190F7C" w:rsidRDefault="005B159A" w:rsidP="00D338D8">
            <w:pPr>
              <w:ind w:left="39" w:right="284" w:firstLine="126"/>
              <w:jc w:val="right"/>
              <w:rPr>
                <w:color w:val="000000"/>
                <w:lang w:eastAsia="en-MY"/>
              </w:rPr>
            </w:pPr>
            <w:r w:rsidRPr="00190F7C">
              <w:rPr>
                <w:color w:val="000000"/>
                <w:lang w:eastAsia="en-MY"/>
              </w:rPr>
              <w:t>Min</w:t>
            </w:r>
          </w:p>
        </w:tc>
        <w:tc>
          <w:tcPr>
            <w:tcW w:w="876" w:type="pct"/>
            <w:tcBorders>
              <w:top w:val="single" w:sz="4" w:space="0" w:color="auto"/>
              <w:left w:val="nil"/>
              <w:bottom w:val="single" w:sz="4" w:space="0" w:color="auto"/>
              <w:right w:val="nil"/>
            </w:tcBorders>
            <w:noWrap/>
            <w:vAlign w:val="bottom"/>
          </w:tcPr>
          <w:p w14:paraId="6318B4EE" w14:textId="77777777" w:rsidR="005B159A" w:rsidRPr="00190F7C" w:rsidRDefault="005B159A" w:rsidP="00D338D8">
            <w:pPr>
              <w:ind w:right="324" w:firstLine="6"/>
              <w:jc w:val="right"/>
              <w:rPr>
                <w:color w:val="000000"/>
                <w:lang w:eastAsia="en-MY"/>
              </w:rPr>
            </w:pPr>
            <w:r w:rsidRPr="00190F7C">
              <w:rPr>
                <w:color w:val="000000"/>
                <w:lang w:eastAsia="en-MY"/>
              </w:rPr>
              <w:t xml:space="preserve">    Max</w:t>
            </w:r>
          </w:p>
        </w:tc>
      </w:tr>
      <w:tr w:rsidR="005B159A" w:rsidRPr="00190F7C" w14:paraId="7A1B6892" w14:textId="77777777" w:rsidTr="00CC6A02">
        <w:trPr>
          <w:trHeight w:val="309"/>
        </w:trPr>
        <w:tc>
          <w:tcPr>
            <w:tcW w:w="941" w:type="pct"/>
            <w:tcBorders>
              <w:top w:val="single" w:sz="4" w:space="0" w:color="auto"/>
              <w:left w:val="nil"/>
              <w:bottom w:val="nil"/>
              <w:right w:val="nil"/>
            </w:tcBorders>
            <w:noWrap/>
            <w:vAlign w:val="bottom"/>
          </w:tcPr>
          <w:p w14:paraId="09400521" w14:textId="77777777" w:rsidR="005B159A" w:rsidRPr="00190F7C" w:rsidRDefault="005B159A" w:rsidP="00D338D8">
            <w:pPr>
              <w:ind w:left="37" w:right="284"/>
              <w:jc w:val="both"/>
              <w:rPr>
                <w:color w:val="000000"/>
                <w:lang w:eastAsia="en-MY"/>
              </w:rPr>
            </w:pPr>
            <w:r w:rsidRPr="00190F7C">
              <w:rPr>
                <w:color w:val="000000"/>
                <w:lang w:eastAsia="en-MY"/>
              </w:rPr>
              <w:t>SI</w:t>
            </w:r>
          </w:p>
        </w:tc>
        <w:tc>
          <w:tcPr>
            <w:tcW w:w="586" w:type="pct"/>
            <w:tcBorders>
              <w:top w:val="single" w:sz="4" w:space="0" w:color="auto"/>
              <w:left w:val="nil"/>
              <w:bottom w:val="nil"/>
              <w:right w:val="nil"/>
            </w:tcBorders>
            <w:noWrap/>
            <w:vAlign w:val="bottom"/>
          </w:tcPr>
          <w:p w14:paraId="78116886" w14:textId="77777777" w:rsidR="005B159A" w:rsidRPr="00190F7C" w:rsidRDefault="005B159A" w:rsidP="00D338D8">
            <w:pPr>
              <w:ind w:right="284"/>
              <w:jc w:val="right"/>
              <w:rPr>
                <w:color w:val="000000"/>
                <w:lang w:eastAsia="en-MY"/>
              </w:rPr>
            </w:pPr>
            <w:r w:rsidRPr="00190F7C">
              <w:rPr>
                <w:color w:val="000000"/>
                <w:lang w:eastAsia="en-MY"/>
              </w:rPr>
              <w:t>300</w:t>
            </w:r>
          </w:p>
        </w:tc>
        <w:tc>
          <w:tcPr>
            <w:tcW w:w="922" w:type="pct"/>
            <w:tcBorders>
              <w:top w:val="single" w:sz="4" w:space="0" w:color="auto"/>
              <w:left w:val="nil"/>
              <w:bottom w:val="nil"/>
              <w:right w:val="nil"/>
            </w:tcBorders>
            <w:noWrap/>
            <w:vAlign w:val="bottom"/>
          </w:tcPr>
          <w:p w14:paraId="4EE3DCF5" w14:textId="77777777" w:rsidR="005B159A" w:rsidRPr="00190F7C" w:rsidRDefault="005B159A" w:rsidP="00D338D8">
            <w:pPr>
              <w:ind w:right="284"/>
              <w:jc w:val="right"/>
              <w:rPr>
                <w:color w:val="000000"/>
                <w:lang w:eastAsia="en-MY"/>
              </w:rPr>
            </w:pPr>
            <w:r w:rsidRPr="00190F7C">
              <w:rPr>
                <w:color w:val="000000"/>
                <w:lang w:eastAsia="en-MY"/>
              </w:rPr>
              <w:t>0.3451</w:t>
            </w:r>
          </w:p>
        </w:tc>
        <w:tc>
          <w:tcPr>
            <w:tcW w:w="829" w:type="pct"/>
            <w:tcBorders>
              <w:top w:val="single" w:sz="4" w:space="0" w:color="auto"/>
              <w:left w:val="nil"/>
              <w:bottom w:val="nil"/>
              <w:right w:val="nil"/>
            </w:tcBorders>
            <w:noWrap/>
            <w:vAlign w:val="bottom"/>
          </w:tcPr>
          <w:p w14:paraId="16A07BA6" w14:textId="77777777" w:rsidR="005B159A" w:rsidRPr="00190F7C" w:rsidRDefault="005B159A" w:rsidP="00D338D8">
            <w:pPr>
              <w:ind w:right="284"/>
              <w:jc w:val="right"/>
              <w:rPr>
                <w:color w:val="000000"/>
                <w:lang w:eastAsia="en-MY"/>
              </w:rPr>
            </w:pPr>
            <w:r w:rsidRPr="00190F7C">
              <w:rPr>
                <w:color w:val="000000"/>
                <w:lang w:eastAsia="en-MY"/>
              </w:rPr>
              <w:t>0.0666</w:t>
            </w:r>
          </w:p>
        </w:tc>
        <w:tc>
          <w:tcPr>
            <w:tcW w:w="846" w:type="pct"/>
            <w:tcBorders>
              <w:top w:val="single" w:sz="4" w:space="0" w:color="auto"/>
              <w:left w:val="nil"/>
              <w:bottom w:val="nil"/>
              <w:right w:val="nil"/>
            </w:tcBorders>
            <w:noWrap/>
            <w:vAlign w:val="bottom"/>
          </w:tcPr>
          <w:p w14:paraId="25B43E36" w14:textId="77777777" w:rsidR="005B159A" w:rsidRPr="00190F7C" w:rsidRDefault="005B159A" w:rsidP="00D338D8">
            <w:pPr>
              <w:ind w:right="284"/>
              <w:jc w:val="right"/>
              <w:rPr>
                <w:color w:val="000000"/>
                <w:lang w:eastAsia="en-MY"/>
              </w:rPr>
            </w:pPr>
            <w:r w:rsidRPr="00190F7C">
              <w:rPr>
                <w:color w:val="000000"/>
                <w:lang w:eastAsia="en-MY"/>
              </w:rPr>
              <w:t>0.0000</w:t>
            </w:r>
          </w:p>
        </w:tc>
        <w:tc>
          <w:tcPr>
            <w:tcW w:w="876" w:type="pct"/>
            <w:tcBorders>
              <w:top w:val="single" w:sz="4" w:space="0" w:color="auto"/>
              <w:left w:val="nil"/>
              <w:bottom w:val="nil"/>
              <w:right w:val="nil"/>
            </w:tcBorders>
            <w:noWrap/>
            <w:vAlign w:val="bottom"/>
          </w:tcPr>
          <w:p w14:paraId="0EC36C38" w14:textId="77777777" w:rsidR="005B159A" w:rsidRPr="00190F7C" w:rsidRDefault="005B159A" w:rsidP="00D338D8">
            <w:pPr>
              <w:ind w:right="324" w:firstLine="6"/>
              <w:jc w:val="right"/>
              <w:rPr>
                <w:color w:val="000000"/>
                <w:lang w:eastAsia="en-MY"/>
              </w:rPr>
            </w:pPr>
            <w:r w:rsidRPr="00190F7C">
              <w:rPr>
                <w:color w:val="000000"/>
                <w:lang w:eastAsia="en-MY"/>
              </w:rPr>
              <w:t>0.5179</w:t>
            </w:r>
          </w:p>
        </w:tc>
      </w:tr>
      <w:tr w:rsidR="005B159A" w:rsidRPr="00190F7C" w14:paraId="58683A3D" w14:textId="77777777" w:rsidTr="00CC6A02">
        <w:trPr>
          <w:trHeight w:val="309"/>
        </w:trPr>
        <w:tc>
          <w:tcPr>
            <w:tcW w:w="941" w:type="pct"/>
            <w:tcBorders>
              <w:top w:val="nil"/>
              <w:left w:val="nil"/>
              <w:bottom w:val="nil"/>
              <w:right w:val="nil"/>
            </w:tcBorders>
            <w:noWrap/>
            <w:vAlign w:val="bottom"/>
          </w:tcPr>
          <w:p w14:paraId="0887AD24" w14:textId="77777777" w:rsidR="005B159A" w:rsidRPr="00190F7C" w:rsidRDefault="005B159A" w:rsidP="00D338D8">
            <w:pPr>
              <w:ind w:left="37" w:right="284"/>
              <w:jc w:val="both"/>
              <w:rPr>
                <w:color w:val="000000"/>
                <w:lang w:eastAsia="en-MY"/>
              </w:rPr>
            </w:pPr>
            <w:r w:rsidRPr="00190F7C">
              <w:rPr>
                <w:color w:val="000000"/>
                <w:lang w:eastAsia="en-MY"/>
              </w:rPr>
              <w:t>ACFI</w:t>
            </w:r>
          </w:p>
        </w:tc>
        <w:tc>
          <w:tcPr>
            <w:tcW w:w="586" w:type="pct"/>
            <w:tcBorders>
              <w:top w:val="nil"/>
              <w:left w:val="nil"/>
              <w:bottom w:val="nil"/>
              <w:right w:val="nil"/>
            </w:tcBorders>
            <w:noWrap/>
            <w:vAlign w:val="bottom"/>
          </w:tcPr>
          <w:p w14:paraId="5809FA8B" w14:textId="77777777" w:rsidR="005B159A" w:rsidRPr="00190F7C" w:rsidRDefault="005B159A" w:rsidP="00D338D8">
            <w:pPr>
              <w:ind w:right="284"/>
              <w:jc w:val="right"/>
              <w:rPr>
                <w:color w:val="000000"/>
                <w:lang w:eastAsia="en-MY"/>
              </w:rPr>
            </w:pPr>
            <w:r w:rsidRPr="00190F7C">
              <w:rPr>
                <w:color w:val="000000"/>
                <w:lang w:eastAsia="en-MY"/>
              </w:rPr>
              <w:t>300</w:t>
            </w:r>
          </w:p>
        </w:tc>
        <w:tc>
          <w:tcPr>
            <w:tcW w:w="922" w:type="pct"/>
            <w:tcBorders>
              <w:top w:val="nil"/>
              <w:left w:val="nil"/>
              <w:bottom w:val="nil"/>
              <w:right w:val="nil"/>
            </w:tcBorders>
            <w:noWrap/>
            <w:vAlign w:val="bottom"/>
          </w:tcPr>
          <w:p w14:paraId="11DD96BE" w14:textId="77777777" w:rsidR="005B159A" w:rsidRPr="00190F7C" w:rsidRDefault="005B159A" w:rsidP="00D338D8">
            <w:pPr>
              <w:ind w:right="284"/>
              <w:jc w:val="right"/>
              <w:rPr>
                <w:color w:val="000000"/>
                <w:lang w:eastAsia="en-MY"/>
              </w:rPr>
            </w:pPr>
            <w:r w:rsidRPr="00190F7C">
              <w:rPr>
                <w:color w:val="000000"/>
                <w:lang w:eastAsia="en-MY"/>
              </w:rPr>
              <w:t>0.9700</w:t>
            </w:r>
          </w:p>
        </w:tc>
        <w:tc>
          <w:tcPr>
            <w:tcW w:w="829" w:type="pct"/>
            <w:tcBorders>
              <w:top w:val="nil"/>
              <w:left w:val="nil"/>
              <w:bottom w:val="nil"/>
              <w:right w:val="nil"/>
            </w:tcBorders>
            <w:noWrap/>
            <w:vAlign w:val="bottom"/>
          </w:tcPr>
          <w:p w14:paraId="7CECAE3E" w14:textId="77777777" w:rsidR="005B159A" w:rsidRPr="00190F7C" w:rsidRDefault="005B159A" w:rsidP="00D338D8">
            <w:pPr>
              <w:ind w:right="284"/>
              <w:jc w:val="right"/>
              <w:rPr>
                <w:color w:val="000000"/>
                <w:lang w:eastAsia="en-MY"/>
              </w:rPr>
            </w:pPr>
            <w:r w:rsidRPr="00190F7C">
              <w:rPr>
                <w:color w:val="000000"/>
                <w:lang w:eastAsia="en-MY"/>
              </w:rPr>
              <w:t>0.1709</w:t>
            </w:r>
          </w:p>
        </w:tc>
        <w:tc>
          <w:tcPr>
            <w:tcW w:w="846" w:type="pct"/>
            <w:tcBorders>
              <w:top w:val="nil"/>
              <w:left w:val="nil"/>
              <w:bottom w:val="nil"/>
              <w:right w:val="nil"/>
            </w:tcBorders>
            <w:noWrap/>
            <w:vAlign w:val="bottom"/>
          </w:tcPr>
          <w:p w14:paraId="1EE57BB5" w14:textId="77777777" w:rsidR="005B159A" w:rsidRPr="00190F7C" w:rsidRDefault="005B159A" w:rsidP="00D338D8">
            <w:pPr>
              <w:ind w:right="284"/>
              <w:jc w:val="right"/>
              <w:rPr>
                <w:color w:val="000000"/>
                <w:lang w:eastAsia="en-MY"/>
              </w:rPr>
            </w:pPr>
            <w:r w:rsidRPr="00190F7C">
              <w:rPr>
                <w:color w:val="000000"/>
                <w:lang w:eastAsia="en-MY"/>
              </w:rPr>
              <w:t>0.0000</w:t>
            </w:r>
          </w:p>
        </w:tc>
        <w:tc>
          <w:tcPr>
            <w:tcW w:w="876" w:type="pct"/>
            <w:tcBorders>
              <w:top w:val="nil"/>
              <w:left w:val="nil"/>
              <w:bottom w:val="nil"/>
              <w:right w:val="nil"/>
            </w:tcBorders>
            <w:noWrap/>
            <w:vAlign w:val="bottom"/>
          </w:tcPr>
          <w:p w14:paraId="64C799E8" w14:textId="77777777" w:rsidR="005B159A" w:rsidRPr="00190F7C" w:rsidRDefault="005B159A" w:rsidP="00D338D8">
            <w:pPr>
              <w:ind w:right="324" w:firstLine="6"/>
              <w:jc w:val="right"/>
              <w:rPr>
                <w:color w:val="000000"/>
                <w:lang w:eastAsia="en-MY"/>
              </w:rPr>
            </w:pPr>
            <w:r w:rsidRPr="00190F7C">
              <w:rPr>
                <w:color w:val="000000"/>
                <w:lang w:eastAsia="en-MY"/>
              </w:rPr>
              <w:t>1.0000</w:t>
            </w:r>
          </w:p>
        </w:tc>
      </w:tr>
      <w:tr w:rsidR="005B159A" w:rsidRPr="00190F7C" w14:paraId="23941BA5" w14:textId="77777777" w:rsidTr="00CC6A02">
        <w:trPr>
          <w:trHeight w:val="309"/>
        </w:trPr>
        <w:tc>
          <w:tcPr>
            <w:tcW w:w="941" w:type="pct"/>
            <w:tcBorders>
              <w:top w:val="nil"/>
              <w:left w:val="nil"/>
              <w:bottom w:val="nil"/>
              <w:right w:val="nil"/>
            </w:tcBorders>
            <w:noWrap/>
            <w:vAlign w:val="bottom"/>
          </w:tcPr>
          <w:p w14:paraId="318F11A6" w14:textId="77777777" w:rsidR="005B159A" w:rsidRPr="00190F7C" w:rsidRDefault="005B159A" w:rsidP="00D338D8">
            <w:pPr>
              <w:ind w:left="37" w:right="284"/>
              <w:jc w:val="both"/>
              <w:rPr>
                <w:color w:val="000000"/>
                <w:lang w:eastAsia="en-MY"/>
              </w:rPr>
            </w:pPr>
            <w:r w:rsidRPr="00190F7C">
              <w:rPr>
                <w:color w:val="000000"/>
                <w:lang w:eastAsia="en-MY"/>
              </w:rPr>
              <w:t>COMP</w:t>
            </w:r>
          </w:p>
        </w:tc>
        <w:tc>
          <w:tcPr>
            <w:tcW w:w="586" w:type="pct"/>
            <w:tcBorders>
              <w:top w:val="nil"/>
              <w:left w:val="nil"/>
              <w:bottom w:val="nil"/>
              <w:right w:val="nil"/>
            </w:tcBorders>
            <w:noWrap/>
            <w:vAlign w:val="bottom"/>
          </w:tcPr>
          <w:p w14:paraId="58A4DED3" w14:textId="77777777" w:rsidR="005B159A" w:rsidRPr="00190F7C" w:rsidRDefault="005B159A" w:rsidP="00D338D8">
            <w:pPr>
              <w:ind w:right="284"/>
              <w:jc w:val="right"/>
              <w:rPr>
                <w:color w:val="000000"/>
                <w:lang w:eastAsia="en-MY"/>
              </w:rPr>
            </w:pPr>
            <w:r w:rsidRPr="00190F7C">
              <w:rPr>
                <w:color w:val="000000"/>
                <w:lang w:eastAsia="en-MY"/>
              </w:rPr>
              <w:t>300</w:t>
            </w:r>
          </w:p>
        </w:tc>
        <w:tc>
          <w:tcPr>
            <w:tcW w:w="922" w:type="pct"/>
            <w:tcBorders>
              <w:top w:val="nil"/>
              <w:left w:val="nil"/>
              <w:bottom w:val="nil"/>
              <w:right w:val="nil"/>
            </w:tcBorders>
            <w:noWrap/>
            <w:vAlign w:val="bottom"/>
          </w:tcPr>
          <w:p w14:paraId="48053678" w14:textId="77777777" w:rsidR="005B159A" w:rsidRPr="00190F7C" w:rsidRDefault="005B159A" w:rsidP="00D338D8">
            <w:pPr>
              <w:ind w:right="284"/>
              <w:jc w:val="right"/>
              <w:rPr>
                <w:color w:val="000000"/>
                <w:lang w:eastAsia="en-MY"/>
              </w:rPr>
            </w:pPr>
            <w:r w:rsidRPr="00190F7C">
              <w:rPr>
                <w:color w:val="000000"/>
                <w:lang w:eastAsia="en-MY"/>
              </w:rPr>
              <w:t>0.5767</w:t>
            </w:r>
          </w:p>
        </w:tc>
        <w:tc>
          <w:tcPr>
            <w:tcW w:w="829" w:type="pct"/>
            <w:tcBorders>
              <w:top w:val="nil"/>
              <w:left w:val="nil"/>
              <w:bottom w:val="nil"/>
              <w:right w:val="nil"/>
            </w:tcBorders>
            <w:noWrap/>
            <w:vAlign w:val="bottom"/>
          </w:tcPr>
          <w:p w14:paraId="0B077011" w14:textId="77777777" w:rsidR="005B159A" w:rsidRPr="00190F7C" w:rsidRDefault="005B159A" w:rsidP="00D338D8">
            <w:pPr>
              <w:ind w:right="284"/>
              <w:jc w:val="right"/>
              <w:rPr>
                <w:color w:val="000000"/>
                <w:lang w:eastAsia="en-MY"/>
              </w:rPr>
            </w:pPr>
            <w:r w:rsidRPr="00190F7C">
              <w:rPr>
                <w:color w:val="000000"/>
                <w:lang w:eastAsia="en-MY"/>
              </w:rPr>
              <w:t>0.4949</w:t>
            </w:r>
          </w:p>
        </w:tc>
        <w:tc>
          <w:tcPr>
            <w:tcW w:w="846" w:type="pct"/>
            <w:tcBorders>
              <w:top w:val="nil"/>
              <w:left w:val="nil"/>
              <w:bottom w:val="nil"/>
              <w:right w:val="nil"/>
            </w:tcBorders>
            <w:noWrap/>
            <w:vAlign w:val="bottom"/>
          </w:tcPr>
          <w:p w14:paraId="3762E0D1" w14:textId="77777777" w:rsidR="005B159A" w:rsidRPr="00190F7C" w:rsidRDefault="005B159A" w:rsidP="00D338D8">
            <w:pPr>
              <w:ind w:right="284"/>
              <w:jc w:val="right"/>
              <w:rPr>
                <w:color w:val="000000"/>
                <w:lang w:eastAsia="en-MY"/>
              </w:rPr>
            </w:pPr>
            <w:r w:rsidRPr="00190F7C">
              <w:rPr>
                <w:color w:val="000000"/>
                <w:lang w:eastAsia="en-MY"/>
              </w:rPr>
              <w:t>0.0000</w:t>
            </w:r>
          </w:p>
        </w:tc>
        <w:tc>
          <w:tcPr>
            <w:tcW w:w="876" w:type="pct"/>
            <w:tcBorders>
              <w:top w:val="nil"/>
              <w:left w:val="nil"/>
              <w:bottom w:val="nil"/>
              <w:right w:val="nil"/>
            </w:tcBorders>
            <w:noWrap/>
            <w:vAlign w:val="bottom"/>
          </w:tcPr>
          <w:p w14:paraId="675784F2" w14:textId="77777777" w:rsidR="005B159A" w:rsidRPr="00190F7C" w:rsidRDefault="005B159A" w:rsidP="00D338D8">
            <w:pPr>
              <w:ind w:right="324" w:firstLine="6"/>
              <w:jc w:val="right"/>
              <w:rPr>
                <w:color w:val="000000"/>
                <w:lang w:eastAsia="en-MY"/>
              </w:rPr>
            </w:pPr>
            <w:r w:rsidRPr="00190F7C">
              <w:rPr>
                <w:color w:val="000000"/>
                <w:lang w:eastAsia="en-MY"/>
              </w:rPr>
              <w:t>1.0000</w:t>
            </w:r>
          </w:p>
        </w:tc>
      </w:tr>
      <w:tr w:rsidR="005B159A" w:rsidRPr="00190F7C" w14:paraId="74255B29" w14:textId="77777777" w:rsidTr="00CC6A02">
        <w:trPr>
          <w:trHeight w:val="309"/>
        </w:trPr>
        <w:tc>
          <w:tcPr>
            <w:tcW w:w="941" w:type="pct"/>
            <w:tcBorders>
              <w:top w:val="nil"/>
              <w:left w:val="nil"/>
              <w:bottom w:val="nil"/>
              <w:right w:val="nil"/>
            </w:tcBorders>
            <w:noWrap/>
            <w:vAlign w:val="bottom"/>
          </w:tcPr>
          <w:p w14:paraId="03F559B8" w14:textId="77777777" w:rsidR="005B159A" w:rsidRPr="00190F7C" w:rsidRDefault="005B159A" w:rsidP="00D338D8">
            <w:pPr>
              <w:ind w:left="37" w:right="284"/>
              <w:jc w:val="both"/>
              <w:rPr>
                <w:color w:val="000000"/>
                <w:lang w:eastAsia="en-MY"/>
              </w:rPr>
            </w:pPr>
            <w:r w:rsidRPr="00190F7C">
              <w:rPr>
                <w:color w:val="000000"/>
                <w:lang w:eastAsia="en-MY"/>
              </w:rPr>
              <w:t>ENVP</w:t>
            </w:r>
          </w:p>
        </w:tc>
        <w:tc>
          <w:tcPr>
            <w:tcW w:w="586" w:type="pct"/>
            <w:tcBorders>
              <w:top w:val="nil"/>
              <w:left w:val="nil"/>
              <w:bottom w:val="nil"/>
              <w:right w:val="nil"/>
            </w:tcBorders>
            <w:noWrap/>
            <w:vAlign w:val="bottom"/>
          </w:tcPr>
          <w:p w14:paraId="767F93F9" w14:textId="77777777" w:rsidR="005B159A" w:rsidRPr="00190F7C" w:rsidRDefault="005B159A" w:rsidP="00D338D8">
            <w:pPr>
              <w:ind w:right="284"/>
              <w:jc w:val="right"/>
              <w:rPr>
                <w:color w:val="000000"/>
                <w:lang w:eastAsia="en-MY"/>
              </w:rPr>
            </w:pPr>
            <w:r w:rsidRPr="00190F7C">
              <w:rPr>
                <w:color w:val="000000"/>
                <w:lang w:eastAsia="en-MY"/>
              </w:rPr>
              <w:t>300</w:t>
            </w:r>
          </w:p>
        </w:tc>
        <w:tc>
          <w:tcPr>
            <w:tcW w:w="922" w:type="pct"/>
            <w:tcBorders>
              <w:top w:val="nil"/>
              <w:left w:val="nil"/>
              <w:bottom w:val="nil"/>
              <w:right w:val="nil"/>
            </w:tcBorders>
            <w:noWrap/>
            <w:vAlign w:val="bottom"/>
          </w:tcPr>
          <w:p w14:paraId="175CB723" w14:textId="77777777" w:rsidR="005B159A" w:rsidRPr="00190F7C" w:rsidRDefault="005B159A" w:rsidP="00D338D8">
            <w:pPr>
              <w:ind w:right="284"/>
              <w:jc w:val="right"/>
              <w:rPr>
                <w:color w:val="000000"/>
                <w:lang w:eastAsia="en-MY"/>
              </w:rPr>
            </w:pPr>
            <w:r w:rsidRPr="00190F7C">
              <w:rPr>
                <w:color w:val="000000"/>
                <w:lang w:eastAsia="en-MY"/>
              </w:rPr>
              <w:t>0.2883</w:t>
            </w:r>
          </w:p>
        </w:tc>
        <w:tc>
          <w:tcPr>
            <w:tcW w:w="829" w:type="pct"/>
            <w:tcBorders>
              <w:top w:val="nil"/>
              <w:left w:val="nil"/>
              <w:bottom w:val="nil"/>
              <w:right w:val="nil"/>
            </w:tcBorders>
            <w:noWrap/>
            <w:vAlign w:val="bottom"/>
          </w:tcPr>
          <w:p w14:paraId="5AEA80F8" w14:textId="77777777" w:rsidR="005B159A" w:rsidRPr="00190F7C" w:rsidRDefault="005B159A" w:rsidP="00D338D8">
            <w:pPr>
              <w:ind w:right="284"/>
              <w:jc w:val="right"/>
              <w:rPr>
                <w:color w:val="000000"/>
                <w:lang w:eastAsia="en-MY"/>
              </w:rPr>
            </w:pPr>
            <w:r w:rsidRPr="00190F7C">
              <w:rPr>
                <w:color w:val="000000"/>
                <w:lang w:eastAsia="en-MY"/>
              </w:rPr>
              <w:t>0.1420</w:t>
            </w:r>
          </w:p>
        </w:tc>
        <w:tc>
          <w:tcPr>
            <w:tcW w:w="846" w:type="pct"/>
            <w:tcBorders>
              <w:top w:val="nil"/>
              <w:left w:val="nil"/>
              <w:bottom w:val="nil"/>
              <w:right w:val="nil"/>
            </w:tcBorders>
            <w:noWrap/>
            <w:vAlign w:val="bottom"/>
          </w:tcPr>
          <w:p w14:paraId="7162A054" w14:textId="77777777" w:rsidR="005B159A" w:rsidRPr="00190F7C" w:rsidRDefault="005B159A" w:rsidP="00D338D8">
            <w:pPr>
              <w:ind w:right="284"/>
              <w:jc w:val="right"/>
              <w:rPr>
                <w:color w:val="000000"/>
                <w:lang w:eastAsia="en-MY"/>
              </w:rPr>
            </w:pPr>
            <w:r w:rsidRPr="00190F7C">
              <w:rPr>
                <w:color w:val="000000"/>
                <w:lang w:eastAsia="en-MY"/>
              </w:rPr>
              <w:t>0.0000</w:t>
            </w:r>
          </w:p>
        </w:tc>
        <w:tc>
          <w:tcPr>
            <w:tcW w:w="876" w:type="pct"/>
            <w:tcBorders>
              <w:top w:val="nil"/>
              <w:left w:val="nil"/>
              <w:bottom w:val="nil"/>
              <w:right w:val="nil"/>
            </w:tcBorders>
            <w:noWrap/>
            <w:vAlign w:val="bottom"/>
          </w:tcPr>
          <w:p w14:paraId="6FADA87B" w14:textId="77777777" w:rsidR="005B159A" w:rsidRPr="00190F7C" w:rsidRDefault="005B159A" w:rsidP="00D338D8">
            <w:pPr>
              <w:ind w:right="324" w:firstLine="6"/>
              <w:jc w:val="right"/>
              <w:rPr>
                <w:color w:val="000000"/>
                <w:lang w:eastAsia="en-MY"/>
              </w:rPr>
            </w:pPr>
            <w:r w:rsidRPr="00190F7C">
              <w:rPr>
                <w:color w:val="000000"/>
                <w:lang w:eastAsia="en-MY"/>
              </w:rPr>
              <w:t>0.6667</w:t>
            </w:r>
          </w:p>
        </w:tc>
      </w:tr>
      <w:tr w:rsidR="005B159A" w:rsidRPr="00190F7C" w14:paraId="040BD049" w14:textId="77777777" w:rsidTr="00CC6A02">
        <w:trPr>
          <w:trHeight w:val="309"/>
        </w:trPr>
        <w:tc>
          <w:tcPr>
            <w:tcW w:w="941" w:type="pct"/>
            <w:tcBorders>
              <w:top w:val="nil"/>
              <w:left w:val="nil"/>
              <w:right w:val="nil"/>
            </w:tcBorders>
            <w:noWrap/>
            <w:vAlign w:val="bottom"/>
          </w:tcPr>
          <w:p w14:paraId="58272410" w14:textId="77777777" w:rsidR="005B159A" w:rsidRPr="00190F7C" w:rsidRDefault="005B159A" w:rsidP="00D338D8">
            <w:pPr>
              <w:ind w:left="37" w:right="284"/>
              <w:jc w:val="both"/>
              <w:rPr>
                <w:color w:val="000000"/>
                <w:lang w:eastAsia="en-MY"/>
              </w:rPr>
            </w:pPr>
            <w:r w:rsidRPr="00190F7C">
              <w:rPr>
                <w:color w:val="000000"/>
                <w:lang w:eastAsia="en-MY"/>
              </w:rPr>
              <w:t>CSZE</w:t>
            </w:r>
          </w:p>
        </w:tc>
        <w:tc>
          <w:tcPr>
            <w:tcW w:w="586" w:type="pct"/>
            <w:tcBorders>
              <w:top w:val="nil"/>
              <w:left w:val="nil"/>
              <w:right w:val="nil"/>
            </w:tcBorders>
            <w:noWrap/>
            <w:vAlign w:val="bottom"/>
          </w:tcPr>
          <w:p w14:paraId="709F5080" w14:textId="77777777" w:rsidR="005B159A" w:rsidRPr="00190F7C" w:rsidRDefault="005B159A" w:rsidP="00D338D8">
            <w:pPr>
              <w:ind w:right="284"/>
              <w:jc w:val="right"/>
              <w:rPr>
                <w:color w:val="000000"/>
                <w:lang w:eastAsia="en-MY"/>
              </w:rPr>
            </w:pPr>
            <w:r w:rsidRPr="00190F7C">
              <w:rPr>
                <w:color w:val="000000"/>
                <w:lang w:eastAsia="en-MY"/>
              </w:rPr>
              <w:t>300</w:t>
            </w:r>
          </w:p>
        </w:tc>
        <w:tc>
          <w:tcPr>
            <w:tcW w:w="922" w:type="pct"/>
            <w:tcBorders>
              <w:top w:val="nil"/>
              <w:left w:val="nil"/>
              <w:right w:val="nil"/>
            </w:tcBorders>
            <w:noWrap/>
            <w:vAlign w:val="bottom"/>
          </w:tcPr>
          <w:p w14:paraId="2AE044C6" w14:textId="77777777" w:rsidR="005B159A" w:rsidRPr="00190F7C" w:rsidRDefault="005B159A" w:rsidP="00D338D8">
            <w:pPr>
              <w:ind w:right="284"/>
              <w:jc w:val="right"/>
              <w:rPr>
                <w:lang w:eastAsia="en-MY"/>
              </w:rPr>
            </w:pPr>
            <w:r w:rsidRPr="00190F7C">
              <w:t>17.4938</w:t>
            </w:r>
          </w:p>
        </w:tc>
        <w:tc>
          <w:tcPr>
            <w:tcW w:w="829" w:type="pct"/>
            <w:tcBorders>
              <w:top w:val="nil"/>
              <w:left w:val="nil"/>
              <w:right w:val="nil"/>
            </w:tcBorders>
            <w:noWrap/>
            <w:vAlign w:val="bottom"/>
          </w:tcPr>
          <w:p w14:paraId="78BB2695" w14:textId="77777777" w:rsidR="005B159A" w:rsidRPr="00190F7C" w:rsidRDefault="005B159A" w:rsidP="00D338D8">
            <w:pPr>
              <w:ind w:right="284"/>
              <w:jc w:val="right"/>
              <w:rPr>
                <w:lang w:eastAsia="en-MY"/>
              </w:rPr>
            </w:pPr>
            <w:r w:rsidRPr="00190F7C">
              <w:t>2.2783</w:t>
            </w:r>
          </w:p>
        </w:tc>
        <w:tc>
          <w:tcPr>
            <w:tcW w:w="846" w:type="pct"/>
            <w:tcBorders>
              <w:top w:val="nil"/>
              <w:left w:val="nil"/>
              <w:right w:val="nil"/>
            </w:tcBorders>
            <w:noWrap/>
            <w:vAlign w:val="bottom"/>
          </w:tcPr>
          <w:p w14:paraId="3EC42D59" w14:textId="77777777" w:rsidR="005B159A" w:rsidRPr="00190F7C" w:rsidRDefault="005B159A" w:rsidP="00D338D8">
            <w:pPr>
              <w:ind w:right="284"/>
              <w:jc w:val="right"/>
              <w:rPr>
                <w:lang w:eastAsia="en-MY"/>
              </w:rPr>
            </w:pPr>
            <w:r w:rsidRPr="00190F7C">
              <w:t>14.2256</w:t>
            </w:r>
          </w:p>
        </w:tc>
        <w:tc>
          <w:tcPr>
            <w:tcW w:w="876" w:type="pct"/>
            <w:tcBorders>
              <w:top w:val="nil"/>
              <w:left w:val="nil"/>
              <w:right w:val="nil"/>
            </w:tcBorders>
            <w:noWrap/>
            <w:vAlign w:val="bottom"/>
          </w:tcPr>
          <w:p w14:paraId="070C75B2" w14:textId="77777777" w:rsidR="005B159A" w:rsidRPr="00190F7C" w:rsidRDefault="005B159A" w:rsidP="00D338D8">
            <w:pPr>
              <w:ind w:right="324" w:firstLine="6"/>
              <w:jc w:val="right"/>
              <w:rPr>
                <w:color w:val="000000"/>
                <w:lang w:eastAsia="en-MY"/>
              </w:rPr>
            </w:pPr>
            <w:r w:rsidRPr="00190F7C">
              <w:rPr>
                <w:color w:val="000000"/>
              </w:rPr>
              <w:t>21.5954</w:t>
            </w:r>
          </w:p>
        </w:tc>
      </w:tr>
      <w:tr w:rsidR="005B159A" w:rsidRPr="00190F7C" w14:paraId="369FA588" w14:textId="77777777" w:rsidTr="00CC6A02">
        <w:trPr>
          <w:trHeight w:val="309"/>
        </w:trPr>
        <w:tc>
          <w:tcPr>
            <w:tcW w:w="941" w:type="pct"/>
            <w:tcBorders>
              <w:top w:val="nil"/>
              <w:left w:val="nil"/>
              <w:bottom w:val="single" w:sz="4" w:space="0" w:color="auto"/>
              <w:right w:val="nil"/>
            </w:tcBorders>
            <w:noWrap/>
            <w:vAlign w:val="bottom"/>
          </w:tcPr>
          <w:p w14:paraId="544230D9" w14:textId="77777777" w:rsidR="005B159A" w:rsidRPr="00190F7C" w:rsidRDefault="005B159A" w:rsidP="00D338D8">
            <w:pPr>
              <w:ind w:left="37" w:right="284"/>
              <w:jc w:val="both"/>
              <w:rPr>
                <w:color w:val="000000"/>
                <w:lang w:eastAsia="en-MY"/>
              </w:rPr>
            </w:pPr>
            <w:r w:rsidRPr="00190F7C">
              <w:rPr>
                <w:color w:val="000000"/>
                <w:lang w:eastAsia="en-MY"/>
              </w:rPr>
              <w:t>LEV</w:t>
            </w:r>
          </w:p>
        </w:tc>
        <w:tc>
          <w:tcPr>
            <w:tcW w:w="586" w:type="pct"/>
            <w:tcBorders>
              <w:top w:val="nil"/>
              <w:left w:val="nil"/>
              <w:bottom w:val="single" w:sz="4" w:space="0" w:color="auto"/>
              <w:right w:val="nil"/>
            </w:tcBorders>
            <w:noWrap/>
            <w:vAlign w:val="bottom"/>
          </w:tcPr>
          <w:p w14:paraId="0A58D4BE" w14:textId="77777777" w:rsidR="005B159A" w:rsidRPr="00190F7C" w:rsidRDefault="005B159A" w:rsidP="00D338D8">
            <w:pPr>
              <w:ind w:right="284"/>
              <w:jc w:val="right"/>
              <w:rPr>
                <w:color w:val="000000"/>
                <w:lang w:eastAsia="en-MY"/>
              </w:rPr>
            </w:pPr>
            <w:r w:rsidRPr="00190F7C">
              <w:rPr>
                <w:color w:val="000000"/>
                <w:lang w:eastAsia="en-MY"/>
              </w:rPr>
              <w:t>300</w:t>
            </w:r>
          </w:p>
        </w:tc>
        <w:tc>
          <w:tcPr>
            <w:tcW w:w="922" w:type="pct"/>
            <w:tcBorders>
              <w:top w:val="nil"/>
              <w:left w:val="nil"/>
              <w:bottom w:val="single" w:sz="4" w:space="0" w:color="auto"/>
              <w:right w:val="nil"/>
            </w:tcBorders>
            <w:noWrap/>
            <w:vAlign w:val="bottom"/>
          </w:tcPr>
          <w:p w14:paraId="0CE643AF" w14:textId="77777777" w:rsidR="005B159A" w:rsidRPr="00190F7C" w:rsidRDefault="005B159A" w:rsidP="00D338D8">
            <w:pPr>
              <w:ind w:right="284"/>
              <w:jc w:val="right"/>
              <w:rPr>
                <w:color w:val="000000"/>
                <w:lang w:eastAsia="en-MY"/>
              </w:rPr>
            </w:pPr>
            <w:r w:rsidRPr="00190F7C">
              <w:rPr>
                <w:color w:val="000000"/>
                <w:lang w:eastAsia="en-MY"/>
              </w:rPr>
              <w:t>0.5873</w:t>
            </w:r>
          </w:p>
        </w:tc>
        <w:tc>
          <w:tcPr>
            <w:tcW w:w="829" w:type="pct"/>
            <w:tcBorders>
              <w:top w:val="nil"/>
              <w:left w:val="nil"/>
              <w:bottom w:val="single" w:sz="4" w:space="0" w:color="auto"/>
              <w:right w:val="nil"/>
            </w:tcBorders>
            <w:noWrap/>
            <w:vAlign w:val="bottom"/>
          </w:tcPr>
          <w:p w14:paraId="78BF4F10" w14:textId="77777777" w:rsidR="005B159A" w:rsidRPr="00190F7C" w:rsidRDefault="005B159A" w:rsidP="00D338D8">
            <w:pPr>
              <w:ind w:right="284"/>
              <w:jc w:val="right"/>
              <w:rPr>
                <w:color w:val="000000"/>
                <w:lang w:eastAsia="en-MY"/>
              </w:rPr>
            </w:pPr>
            <w:r w:rsidRPr="00190F7C">
              <w:rPr>
                <w:color w:val="000000"/>
                <w:lang w:eastAsia="en-MY"/>
              </w:rPr>
              <w:t>0.2537</w:t>
            </w:r>
          </w:p>
        </w:tc>
        <w:tc>
          <w:tcPr>
            <w:tcW w:w="846" w:type="pct"/>
            <w:tcBorders>
              <w:top w:val="nil"/>
              <w:left w:val="nil"/>
              <w:bottom w:val="single" w:sz="4" w:space="0" w:color="auto"/>
              <w:right w:val="nil"/>
            </w:tcBorders>
            <w:noWrap/>
            <w:vAlign w:val="bottom"/>
          </w:tcPr>
          <w:p w14:paraId="5E490562" w14:textId="77777777" w:rsidR="005B159A" w:rsidRPr="00190F7C" w:rsidRDefault="005B159A" w:rsidP="00D338D8">
            <w:pPr>
              <w:ind w:right="284"/>
              <w:jc w:val="right"/>
              <w:rPr>
                <w:color w:val="000000"/>
                <w:lang w:eastAsia="en-MY"/>
              </w:rPr>
            </w:pPr>
            <w:r w:rsidRPr="00190F7C">
              <w:t>0.1083</w:t>
            </w:r>
          </w:p>
        </w:tc>
        <w:tc>
          <w:tcPr>
            <w:tcW w:w="876" w:type="pct"/>
            <w:tcBorders>
              <w:top w:val="nil"/>
              <w:left w:val="nil"/>
              <w:bottom w:val="single" w:sz="4" w:space="0" w:color="auto"/>
              <w:right w:val="nil"/>
            </w:tcBorders>
            <w:noWrap/>
            <w:vAlign w:val="bottom"/>
          </w:tcPr>
          <w:p w14:paraId="32606216" w14:textId="77777777" w:rsidR="005B159A" w:rsidRPr="00190F7C" w:rsidRDefault="005B159A" w:rsidP="00D338D8">
            <w:pPr>
              <w:ind w:right="324" w:firstLine="6"/>
              <w:jc w:val="right"/>
              <w:rPr>
                <w:color w:val="000000"/>
                <w:lang w:eastAsia="en-MY"/>
              </w:rPr>
            </w:pPr>
            <w:r w:rsidRPr="00190F7C">
              <w:rPr>
                <w:color w:val="000000"/>
                <w:lang w:eastAsia="en-MY"/>
              </w:rPr>
              <w:t>2.0682</w:t>
            </w:r>
          </w:p>
        </w:tc>
      </w:tr>
    </w:tbl>
    <w:p w14:paraId="259E2D72" w14:textId="77777777" w:rsidR="005B159A" w:rsidRPr="00190F7C" w:rsidRDefault="005B159A" w:rsidP="00D338D8">
      <w:pPr>
        <w:jc w:val="both"/>
      </w:pPr>
    </w:p>
    <w:p w14:paraId="40423C7D" w14:textId="237BAEBC" w:rsidR="005B159A" w:rsidRPr="00190F7C" w:rsidRDefault="005B159A" w:rsidP="00304CE2">
      <w:pPr>
        <w:ind w:firstLine="284"/>
        <w:jc w:val="both"/>
      </w:pPr>
      <w:r w:rsidRPr="00190F7C">
        <w:t>The table similarly shows that the mean of ACFI is 0.9700, indicating that 97% of the listed non-financial firms experienced economic constraints, leading them to collect either loan or overdraft facilities to run their operations. COMP also shows a mean value of 0.5767, which indicates that 57.67% of non-financial companies have foreign shareholders, a minimum of 0 indicating the absence of foreign share and a maximum of 1 depicting the presence of foreign shareholders. This value is also higher than the 31.6% Flammer (2015) reported.</w:t>
      </w:r>
      <w:bookmarkStart w:id="7" w:name="_Hlk137027597"/>
      <w:r w:rsidRPr="00190F7C">
        <w:t xml:space="preserve"> On the other hand, ENVP shows a mean of 0.2883, a minimum of 0, and a maximum of 0.6667, which signifies that 28.83% represents the disclosure indices on the environmental policy of the non-financial companies. This figure is equally lower than the 0.5506 simple average disclosures indices Haladu and Salim (2016) reported.</w:t>
      </w:r>
      <w:bookmarkEnd w:id="7"/>
    </w:p>
    <w:p w14:paraId="24814003" w14:textId="77777777" w:rsidR="00254942" w:rsidRDefault="00254942" w:rsidP="00304CE2">
      <w:pPr>
        <w:jc w:val="both"/>
        <w:rPr>
          <w:b/>
        </w:rPr>
      </w:pPr>
    </w:p>
    <w:p w14:paraId="48176B97" w14:textId="78DFD39D" w:rsidR="005B159A" w:rsidRDefault="005B159A" w:rsidP="00304CE2">
      <w:pPr>
        <w:jc w:val="both"/>
        <w:rPr>
          <w:bCs/>
          <w:i/>
          <w:iCs/>
        </w:rPr>
      </w:pPr>
      <w:r w:rsidRPr="00A94FEE">
        <w:rPr>
          <w:bCs/>
          <w:i/>
          <w:iCs/>
        </w:rPr>
        <w:t>4.2 Correlation Analysis</w:t>
      </w:r>
    </w:p>
    <w:p w14:paraId="1AACC861" w14:textId="77777777" w:rsidR="00A94FEE" w:rsidRPr="00A94FEE" w:rsidRDefault="00A94FEE" w:rsidP="00304CE2">
      <w:pPr>
        <w:jc w:val="both"/>
        <w:rPr>
          <w:bCs/>
          <w:i/>
          <w:iCs/>
        </w:rPr>
      </w:pPr>
    </w:p>
    <w:p w14:paraId="45875413" w14:textId="77777777" w:rsidR="005B159A" w:rsidRPr="00190F7C" w:rsidRDefault="005B159A" w:rsidP="00304CE2">
      <w:pPr>
        <w:ind w:firstLine="284"/>
        <w:jc w:val="both"/>
        <w:rPr>
          <w:lang w:eastAsia="en-MY"/>
        </w:rPr>
      </w:pPr>
      <w:r w:rsidRPr="00190F7C">
        <w:t xml:space="preserve">Table 3 presents the correlation analysis of the study variables. The result from Table 3 displays the explanatory and predictive variables' correlation matrix. All of the study's variables were found for access to finance, competition, and environmental policy to be associated with sustainability initiative. This indicates that the SI is negatively affected by an increase in access to finance, whereas, competition is positively affected as a result of foreign shareholders. Correspondingly, environmental policy was also associated with SI positively. </w:t>
      </w:r>
      <w:r w:rsidRPr="00190F7C">
        <w:rPr>
          <w:lang w:eastAsia="en-MY"/>
        </w:rPr>
        <w:t>Similarly, because larger enterprises are more likely to implement SI policies and programs, company size has a positive correlation with SI. Because of their disparities in size, Nigerian non-financial enterprises evaluated by CSRHUB exhibited unstable SI levels.</w:t>
      </w:r>
    </w:p>
    <w:p w14:paraId="0C397868" w14:textId="77777777" w:rsidR="00FF28A5" w:rsidRDefault="00FF28A5" w:rsidP="00D338D8">
      <w:pPr>
        <w:jc w:val="both"/>
        <w:rPr>
          <w:b/>
          <w:bCs/>
        </w:rPr>
      </w:pPr>
    </w:p>
    <w:p w14:paraId="73B13D08" w14:textId="7E9DF128" w:rsidR="005B159A" w:rsidRPr="00CC6A02" w:rsidRDefault="005B159A" w:rsidP="00D338D8">
      <w:pPr>
        <w:jc w:val="both"/>
        <w:rPr>
          <w:color w:val="000000"/>
        </w:rPr>
      </w:pPr>
      <w:r w:rsidRPr="00CC6A02">
        <w:t xml:space="preserve">Table 3: </w:t>
      </w:r>
      <w:r w:rsidRPr="00CC6A02">
        <w:rPr>
          <w:color w:val="000000"/>
        </w:rPr>
        <w:t>Correlation Matrix</w:t>
      </w:r>
    </w:p>
    <w:p w14:paraId="357D3790" w14:textId="77777777" w:rsidR="00FF28A5" w:rsidRPr="00190F7C" w:rsidRDefault="00FF28A5" w:rsidP="00D338D8">
      <w:pPr>
        <w:jc w:val="both"/>
      </w:pPr>
    </w:p>
    <w:tbl>
      <w:tblPr>
        <w:tblW w:w="8505" w:type="dxa"/>
        <w:tblLook w:val="04A0" w:firstRow="1" w:lastRow="0" w:firstColumn="1" w:lastColumn="0" w:noHBand="0" w:noVBand="1"/>
      </w:tblPr>
      <w:tblGrid>
        <w:gridCol w:w="1039"/>
        <w:gridCol w:w="1236"/>
        <w:gridCol w:w="1134"/>
        <w:gridCol w:w="1260"/>
        <w:gridCol w:w="1236"/>
        <w:gridCol w:w="1236"/>
        <w:gridCol w:w="666"/>
        <w:gridCol w:w="698"/>
      </w:tblGrid>
      <w:tr w:rsidR="005B159A" w:rsidRPr="00190F7C" w14:paraId="73706196" w14:textId="77777777" w:rsidTr="00FF28A5">
        <w:trPr>
          <w:trHeight w:val="290"/>
        </w:trPr>
        <w:tc>
          <w:tcPr>
            <w:tcW w:w="1039" w:type="dxa"/>
            <w:tcBorders>
              <w:top w:val="single" w:sz="4" w:space="0" w:color="auto"/>
              <w:left w:val="nil"/>
              <w:bottom w:val="single" w:sz="4" w:space="0" w:color="auto"/>
              <w:right w:val="nil"/>
            </w:tcBorders>
            <w:noWrap/>
            <w:vAlign w:val="bottom"/>
          </w:tcPr>
          <w:p w14:paraId="717F5DD4" w14:textId="77777777" w:rsidR="005B159A" w:rsidRPr="00CC6A02" w:rsidRDefault="005B159A" w:rsidP="00304CE2">
            <w:pPr>
              <w:rPr>
                <w:b/>
                <w:bCs/>
                <w:sz w:val="19"/>
                <w:szCs w:val="19"/>
              </w:rPr>
            </w:pPr>
            <w:r w:rsidRPr="00CC6A02">
              <w:rPr>
                <w:b/>
                <w:bCs/>
                <w:sz w:val="19"/>
                <w:szCs w:val="19"/>
              </w:rPr>
              <w:t>Variables</w:t>
            </w:r>
          </w:p>
        </w:tc>
        <w:tc>
          <w:tcPr>
            <w:tcW w:w="1236" w:type="dxa"/>
            <w:tcBorders>
              <w:top w:val="single" w:sz="4" w:space="0" w:color="auto"/>
              <w:left w:val="nil"/>
              <w:bottom w:val="single" w:sz="4" w:space="0" w:color="auto"/>
              <w:right w:val="nil"/>
            </w:tcBorders>
            <w:noWrap/>
            <w:vAlign w:val="bottom"/>
          </w:tcPr>
          <w:p w14:paraId="3E3F8D05" w14:textId="77777777" w:rsidR="005B159A" w:rsidRPr="00CC6A02" w:rsidRDefault="005B159A" w:rsidP="00304CE2">
            <w:pPr>
              <w:jc w:val="center"/>
              <w:rPr>
                <w:b/>
                <w:bCs/>
                <w:color w:val="000000"/>
                <w:sz w:val="19"/>
                <w:szCs w:val="19"/>
              </w:rPr>
            </w:pPr>
            <w:r w:rsidRPr="00CC6A02">
              <w:rPr>
                <w:b/>
                <w:bCs/>
                <w:color w:val="000000"/>
                <w:sz w:val="19"/>
                <w:szCs w:val="19"/>
              </w:rPr>
              <w:t>SI</w:t>
            </w:r>
          </w:p>
        </w:tc>
        <w:tc>
          <w:tcPr>
            <w:tcW w:w="1134" w:type="dxa"/>
            <w:tcBorders>
              <w:top w:val="single" w:sz="4" w:space="0" w:color="auto"/>
              <w:left w:val="nil"/>
              <w:bottom w:val="single" w:sz="4" w:space="0" w:color="auto"/>
              <w:right w:val="nil"/>
            </w:tcBorders>
            <w:noWrap/>
            <w:vAlign w:val="bottom"/>
          </w:tcPr>
          <w:p w14:paraId="2711CE29" w14:textId="77777777" w:rsidR="005B159A" w:rsidRPr="00CC6A02" w:rsidRDefault="005B159A" w:rsidP="00304CE2">
            <w:pPr>
              <w:jc w:val="center"/>
              <w:rPr>
                <w:b/>
                <w:bCs/>
                <w:color w:val="000000"/>
                <w:sz w:val="19"/>
                <w:szCs w:val="19"/>
              </w:rPr>
            </w:pPr>
            <w:r w:rsidRPr="00CC6A02">
              <w:rPr>
                <w:b/>
                <w:bCs/>
                <w:color w:val="000000"/>
                <w:sz w:val="19"/>
                <w:szCs w:val="19"/>
              </w:rPr>
              <w:t>ACFI</w:t>
            </w:r>
          </w:p>
        </w:tc>
        <w:tc>
          <w:tcPr>
            <w:tcW w:w="1260" w:type="dxa"/>
            <w:tcBorders>
              <w:top w:val="single" w:sz="4" w:space="0" w:color="auto"/>
              <w:left w:val="nil"/>
              <w:bottom w:val="single" w:sz="4" w:space="0" w:color="auto"/>
              <w:right w:val="nil"/>
            </w:tcBorders>
            <w:noWrap/>
            <w:vAlign w:val="bottom"/>
          </w:tcPr>
          <w:p w14:paraId="711ED076" w14:textId="77777777" w:rsidR="005B159A" w:rsidRPr="00CC6A02" w:rsidRDefault="005B159A" w:rsidP="00304CE2">
            <w:pPr>
              <w:jc w:val="center"/>
              <w:rPr>
                <w:b/>
                <w:bCs/>
                <w:color w:val="000000"/>
                <w:sz w:val="19"/>
                <w:szCs w:val="19"/>
              </w:rPr>
            </w:pPr>
            <w:r w:rsidRPr="00CC6A02">
              <w:rPr>
                <w:b/>
                <w:bCs/>
                <w:color w:val="000000"/>
                <w:sz w:val="19"/>
                <w:szCs w:val="19"/>
              </w:rPr>
              <w:t>COMP</w:t>
            </w:r>
          </w:p>
        </w:tc>
        <w:tc>
          <w:tcPr>
            <w:tcW w:w="1236" w:type="dxa"/>
            <w:tcBorders>
              <w:top w:val="single" w:sz="4" w:space="0" w:color="auto"/>
              <w:left w:val="nil"/>
              <w:bottom w:val="single" w:sz="4" w:space="0" w:color="auto"/>
              <w:right w:val="nil"/>
            </w:tcBorders>
            <w:noWrap/>
            <w:vAlign w:val="bottom"/>
          </w:tcPr>
          <w:p w14:paraId="46302957" w14:textId="77777777" w:rsidR="005B159A" w:rsidRPr="00CC6A02" w:rsidRDefault="005B159A" w:rsidP="00304CE2">
            <w:pPr>
              <w:jc w:val="center"/>
              <w:rPr>
                <w:b/>
                <w:bCs/>
                <w:color w:val="000000"/>
                <w:sz w:val="19"/>
                <w:szCs w:val="19"/>
              </w:rPr>
            </w:pPr>
            <w:r w:rsidRPr="00CC6A02">
              <w:rPr>
                <w:b/>
                <w:bCs/>
                <w:color w:val="000000"/>
                <w:sz w:val="19"/>
                <w:szCs w:val="19"/>
              </w:rPr>
              <w:t>ENVP</w:t>
            </w:r>
          </w:p>
        </w:tc>
        <w:tc>
          <w:tcPr>
            <w:tcW w:w="1236" w:type="dxa"/>
            <w:tcBorders>
              <w:top w:val="single" w:sz="4" w:space="0" w:color="auto"/>
              <w:left w:val="nil"/>
              <w:bottom w:val="single" w:sz="4" w:space="0" w:color="auto"/>
              <w:right w:val="nil"/>
            </w:tcBorders>
            <w:noWrap/>
            <w:vAlign w:val="bottom"/>
          </w:tcPr>
          <w:p w14:paraId="40AECCCA" w14:textId="77777777" w:rsidR="005B159A" w:rsidRPr="00CC6A02" w:rsidRDefault="005B159A" w:rsidP="00304CE2">
            <w:pPr>
              <w:jc w:val="center"/>
              <w:rPr>
                <w:b/>
                <w:bCs/>
                <w:color w:val="000000"/>
                <w:sz w:val="19"/>
                <w:szCs w:val="19"/>
              </w:rPr>
            </w:pPr>
            <w:r w:rsidRPr="00CC6A02">
              <w:rPr>
                <w:b/>
                <w:bCs/>
                <w:color w:val="000000"/>
                <w:sz w:val="19"/>
                <w:szCs w:val="19"/>
              </w:rPr>
              <w:t>CSZE</w:t>
            </w:r>
          </w:p>
        </w:tc>
        <w:tc>
          <w:tcPr>
            <w:tcW w:w="666" w:type="dxa"/>
            <w:tcBorders>
              <w:top w:val="single" w:sz="4" w:space="0" w:color="auto"/>
              <w:left w:val="nil"/>
              <w:bottom w:val="single" w:sz="4" w:space="0" w:color="auto"/>
              <w:right w:val="nil"/>
            </w:tcBorders>
            <w:noWrap/>
            <w:vAlign w:val="bottom"/>
          </w:tcPr>
          <w:p w14:paraId="0CF34797" w14:textId="77777777" w:rsidR="005B159A" w:rsidRPr="00CC6A02" w:rsidRDefault="005B159A" w:rsidP="00304CE2">
            <w:pPr>
              <w:jc w:val="center"/>
              <w:rPr>
                <w:b/>
                <w:bCs/>
                <w:color w:val="000000"/>
                <w:sz w:val="19"/>
                <w:szCs w:val="19"/>
              </w:rPr>
            </w:pPr>
            <w:r w:rsidRPr="00CC6A02">
              <w:rPr>
                <w:b/>
                <w:bCs/>
                <w:color w:val="000000"/>
                <w:sz w:val="19"/>
                <w:szCs w:val="19"/>
              </w:rPr>
              <w:t>LEV</w:t>
            </w:r>
          </w:p>
        </w:tc>
        <w:tc>
          <w:tcPr>
            <w:tcW w:w="698" w:type="dxa"/>
            <w:tcBorders>
              <w:top w:val="single" w:sz="4" w:space="0" w:color="auto"/>
              <w:left w:val="nil"/>
              <w:bottom w:val="single" w:sz="4" w:space="0" w:color="auto"/>
              <w:right w:val="nil"/>
            </w:tcBorders>
            <w:noWrap/>
            <w:vAlign w:val="bottom"/>
          </w:tcPr>
          <w:p w14:paraId="6C0E160A" w14:textId="77777777" w:rsidR="005B159A" w:rsidRPr="00CC6A02" w:rsidRDefault="005B159A" w:rsidP="00304CE2">
            <w:pPr>
              <w:jc w:val="center"/>
              <w:rPr>
                <w:b/>
                <w:bCs/>
                <w:color w:val="000000"/>
                <w:sz w:val="19"/>
                <w:szCs w:val="19"/>
              </w:rPr>
            </w:pPr>
            <w:r w:rsidRPr="00CC6A02">
              <w:rPr>
                <w:b/>
                <w:bCs/>
                <w:color w:val="000000"/>
                <w:sz w:val="19"/>
                <w:szCs w:val="19"/>
              </w:rPr>
              <w:t>VIF</w:t>
            </w:r>
          </w:p>
        </w:tc>
      </w:tr>
      <w:tr w:rsidR="005B159A" w:rsidRPr="00190F7C" w14:paraId="728E2F87" w14:textId="77777777" w:rsidTr="00FF28A5">
        <w:trPr>
          <w:trHeight w:val="290"/>
        </w:trPr>
        <w:tc>
          <w:tcPr>
            <w:tcW w:w="1039" w:type="dxa"/>
            <w:tcBorders>
              <w:top w:val="single" w:sz="4" w:space="0" w:color="auto"/>
              <w:left w:val="nil"/>
              <w:bottom w:val="nil"/>
              <w:right w:val="nil"/>
            </w:tcBorders>
            <w:noWrap/>
            <w:vAlign w:val="bottom"/>
          </w:tcPr>
          <w:p w14:paraId="395C9D52" w14:textId="77777777" w:rsidR="005B159A" w:rsidRPr="00CC6A02" w:rsidRDefault="005B159A" w:rsidP="00304CE2">
            <w:pPr>
              <w:rPr>
                <w:color w:val="000000"/>
                <w:sz w:val="19"/>
                <w:szCs w:val="19"/>
              </w:rPr>
            </w:pPr>
            <w:r w:rsidRPr="00CC6A02">
              <w:rPr>
                <w:color w:val="000000"/>
                <w:sz w:val="19"/>
                <w:szCs w:val="19"/>
              </w:rPr>
              <w:t>SI</w:t>
            </w:r>
          </w:p>
        </w:tc>
        <w:tc>
          <w:tcPr>
            <w:tcW w:w="1236" w:type="dxa"/>
            <w:tcBorders>
              <w:top w:val="single" w:sz="4" w:space="0" w:color="auto"/>
              <w:left w:val="nil"/>
              <w:bottom w:val="nil"/>
              <w:right w:val="nil"/>
            </w:tcBorders>
            <w:noWrap/>
            <w:vAlign w:val="bottom"/>
          </w:tcPr>
          <w:p w14:paraId="310C26EF" w14:textId="77777777" w:rsidR="005B159A" w:rsidRPr="00CC6A02" w:rsidRDefault="005B159A" w:rsidP="00304CE2">
            <w:pPr>
              <w:jc w:val="center"/>
              <w:rPr>
                <w:color w:val="000000"/>
                <w:sz w:val="19"/>
                <w:szCs w:val="19"/>
              </w:rPr>
            </w:pPr>
            <w:r w:rsidRPr="00CC6A02">
              <w:rPr>
                <w:color w:val="000000"/>
                <w:sz w:val="19"/>
                <w:szCs w:val="19"/>
              </w:rPr>
              <w:t>1.000</w:t>
            </w:r>
          </w:p>
        </w:tc>
        <w:tc>
          <w:tcPr>
            <w:tcW w:w="1134" w:type="dxa"/>
            <w:tcBorders>
              <w:top w:val="single" w:sz="4" w:space="0" w:color="auto"/>
              <w:left w:val="nil"/>
              <w:bottom w:val="nil"/>
              <w:right w:val="nil"/>
            </w:tcBorders>
            <w:noWrap/>
            <w:vAlign w:val="bottom"/>
          </w:tcPr>
          <w:p w14:paraId="3A3E77FD" w14:textId="77777777" w:rsidR="005B159A" w:rsidRPr="00CC6A02" w:rsidRDefault="005B159A" w:rsidP="00304CE2">
            <w:pPr>
              <w:jc w:val="center"/>
              <w:rPr>
                <w:color w:val="000000"/>
                <w:sz w:val="19"/>
                <w:szCs w:val="19"/>
              </w:rPr>
            </w:pPr>
          </w:p>
        </w:tc>
        <w:tc>
          <w:tcPr>
            <w:tcW w:w="1260" w:type="dxa"/>
            <w:tcBorders>
              <w:top w:val="single" w:sz="4" w:space="0" w:color="auto"/>
              <w:left w:val="nil"/>
              <w:bottom w:val="nil"/>
              <w:right w:val="nil"/>
            </w:tcBorders>
            <w:noWrap/>
            <w:vAlign w:val="bottom"/>
          </w:tcPr>
          <w:p w14:paraId="098E0499" w14:textId="77777777" w:rsidR="005B159A" w:rsidRPr="00CC6A02" w:rsidRDefault="005B159A" w:rsidP="00304CE2">
            <w:pPr>
              <w:jc w:val="center"/>
              <w:rPr>
                <w:sz w:val="19"/>
                <w:szCs w:val="19"/>
              </w:rPr>
            </w:pPr>
          </w:p>
        </w:tc>
        <w:tc>
          <w:tcPr>
            <w:tcW w:w="1236" w:type="dxa"/>
            <w:tcBorders>
              <w:top w:val="single" w:sz="4" w:space="0" w:color="auto"/>
              <w:left w:val="nil"/>
              <w:bottom w:val="nil"/>
              <w:right w:val="nil"/>
            </w:tcBorders>
            <w:noWrap/>
            <w:vAlign w:val="bottom"/>
          </w:tcPr>
          <w:p w14:paraId="28531356" w14:textId="77777777" w:rsidR="005B159A" w:rsidRPr="00CC6A02" w:rsidRDefault="005B159A" w:rsidP="00304CE2">
            <w:pPr>
              <w:jc w:val="center"/>
              <w:rPr>
                <w:sz w:val="19"/>
                <w:szCs w:val="19"/>
              </w:rPr>
            </w:pPr>
          </w:p>
        </w:tc>
        <w:tc>
          <w:tcPr>
            <w:tcW w:w="1236" w:type="dxa"/>
            <w:tcBorders>
              <w:top w:val="single" w:sz="4" w:space="0" w:color="auto"/>
              <w:left w:val="nil"/>
              <w:bottom w:val="nil"/>
              <w:right w:val="nil"/>
            </w:tcBorders>
            <w:noWrap/>
            <w:vAlign w:val="bottom"/>
          </w:tcPr>
          <w:p w14:paraId="16199519" w14:textId="77777777" w:rsidR="005B159A" w:rsidRPr="00CC6A02" w:rsidRDefault="005B159A" w:rsidP="00304CE2">
            <w:pPr>
              <w:jc w:val="center"/>
              <w:rPr>
                <w:sz w:val="19"/>
                <w:szCs w:val="19"/>
              </w:rPr>
            </w:pPr>
          </w:p>
        </w:tc>
        <w:tc>
          <w:tcPr>
            <w:tcW w:w="666" w:type="dxa"/>
            <w:tcBorders>
              <w:top w:val="single" w:sz="4" w:space="0" w:color="auto"/>
              <w:left w:val="nil"/>
              <w:bottom w:val="nil"/>
              <w:right w:val="nil"/>
            </w:tcBorders>
            <w:noWrap/>
            <w:vAlign w:val="bottom"/>
          </w:tcPr>
          <w:p w14:paraId="6E79A52A" w14:textId="77777777" w:rsidR="005B159A" w:rsidRPr="00CC6A02" w:rsidRDefault="005B159A" w:rsidP="00304CE2">
            <w:pPr>
              <w:jc w:val="center"/>
              <w:rPr>
                <w:sz w:val="19"/>
                <w:szCs w:val="19"/>
              </w:rPr>
            </w:pPr>
          </w:p>
        </w:tc>
        <w:tc>
          <w:tcPr>
            <w:tcW w:w="698" w:type="dxa"/>
            <w:tcBorders>
              <w:top w:val="single" w:sz="4" w:space="0" w:color="auto"/>
              <w:left w:val="nil"/>
              <w:bottom w:val="nil"/>
              <w:right w:val="nil"/>
            </w:tcBorders>
            <w:noWrap/>
            <w:vAlign w:val="bottom"/>
          </w:tcPr>
          <w:p w14:paraId="4BC2283B" w14:textId="77777777" w:rsidR="005B159A" w:rsidRPr="00CC6A02" w:rsidRDefault="005B159A" w:rsidP="00304CE2">
            <w:pPr>
              <w:jc w:val="center"/>
              <w:rPr>
                <w:sz w:val="19"/>
                <w:szCs w:val="19"/>
              </w:rPr>
            </w:pPr>
          </w:p>
        </w:tc>
      </w:tr>
      <w:tr w:rsidR="005B159A" w:rsidRPr="00190F7C" w14:paraId="6119BD4A" w14:textId="77777777" w:rsidTr="00FF28A5">
        <w:trPr>
          <w:trHeight w:val="290"/>
        </w:trPr>
        <w:tc>
          <w:tcPr>
            <w:tcW w:w="1039" w:type="dxa"/>
            <w:tcBorders>
              <w:top w:val="nil"/>
              <w:left w:val="nil"/>
              <w:bottom w:val="nil"/>
              <w:right w:val="nil"/>
            </w:tcBorders>
            <w:noWrap/>
            <w:vAlign w:val="bottom"/>
          </w:tcPr>
          <w:p w14:paraId="53C254EA" w14:textId="77777777" w:rsidR="005B159A" w:rsidRPr="00CC6A02" w:rsidRDefault="005B159A" w:rsidP="00304CE2">
            <w:pPr>
              <w:rPr>
                <w:color w:val="000000"/>
                <w:sz w:val="19"/>
                <w:szCs w:val="19"/>
              </w:rPr>
            </w:pPr>
            <w:r w:rsidRPr="00CC6A02">
              <w:rPr>
                <w:color w:val="000000"/>
                <w:sz w:val="19"/>
                <w:szCs w:val="19"/>
              </w:rPr>
              <w:t>ACFI</w:t>
            </w:r>
          </w:p>
        </w:tc>
        <w:tc>
          <w:tcPr>
            <w:tcW w:w="1236" w:type="dxa"/>
            <w:tcBorders>
              <w:top w:val="nil"/>
              <w:left w:val="nil"/>
              <w:bottom w:val="nil"/>
              <w:right w:val="nil"/>
            </w:tcBorders>
            <w:noWrap/>
            <w:vAlign w:val="bottom"/>
          </w:tcPr>
          <w:p w14:paraId="61406D0C" w14:textId="77777777" w:rsidR="005B159A" w:rsidRPr="00CC6A02" w:rsidRDefault="005B159A" w:rsidP="00304CE2">
            <w:pPr>
              <w:jc w:val="center"/>
              <w:rPr>
                <w:color w:val="000000"/>
                <w:sz w:val="19"/>
                <w:szCs w:val="19"/>
              </w:rPr>
            </w:pPr>
            <w:r w:rsidRPr="00CC6A02">
              <w:rPr>
                <w:color w:val="000000"/>
                <w:sz w:val="19"/>
                <w:szCs w:val="19"/>
              </w:rPr>
              <w:t>-0.0549</w:t>
            </w:r>
          </w:p>
        </w:tc>
        <w:tc>
          <w:tcPr>
            <w:tcW w:w="1134" w:type="dxa"/>
            <w:tcBorders>
              <w:top w:val="nil"/>
              <w:left w:val="nil"/>
              <w:bottom w:val="nil"/>
              <w:right w:val="nil"/>
            </w:tcBorders>
            <w:noWrap/>
            <w:vAlign w:val="bottom"/>
          </w:tcPr>
          <w:p w14:paraId="7FA44F9B" w14:textId="77777777" w:rsidR="005B159A" w:rsidRPr="00CC6A02" w:rsidRDefault="005B159A" w:rsidP="00304CE2">
            <w:pPr>
              <w:jc w:val="center"/>
              <w:rPr>
                <w:color w:val="000000"/>
                <w:sz w:val="19"/>
                <w:szCs w:val="19"/>
              </w:rPr>
            </w:pPr>
            <w:r w:rsidRPr="00CC6A02">
              <w:rPr>
                <w:color w:val="000000"/>
                <w:sz w:val="19"/>
                <w:szCs w:val="19"/>
              </w:rPr>
              <w:t>1.000</w:t>
            </w:r>
          </w:p>
        </w:tc>
        <w:tc>
          <w:tcPr>
            <w:tcW w:w="1260" w:type="dxa"/>
            <w:tcBorders>
              <w:top w:val="nil"/>
              <w:left w:val="nil"/>
              <w:bottom w:val="nil"/>
              <w:right w:val="nil"/>
            </w:tcBorders>
            <w:noWrap/>
            <w:vAlign w:val="bottom"/>
          </w:tcPr>
          <w:p w14:paraId="5D8EDCE0" w14:textId="77777777" w:rsidR="005B159A" w:rsidRPr="00CC6A02" w:rsidRDefault="005B159A" w:rsidP="00304CE2">
            <w:pPr>
              <w:jc w:val="center"/>
              <w:rPr>
                <w:color w:val="000000"/>
                <w:sz w:val="19"/>
                <w:szCs w:val="19"/>
              </w:rPr>
            </w:pPr>
          </w:p>
        </w:tc>
        <w:tc>
          <w:tcPr>
            <w:tcW w:w="1236" w:type="dxa"/>
            <w:tcBorders>
              <w:top w:val="nil"/>
              <w:left w:val="nil"/>
              <w:bottom w:val="nil"/>
              <w:right w:val="nil"/>
            </w:tcBorders>
            <w:noWrap/>
            <w:vAlign w:val="bottom"/>
          </w:tcPr>
          <w:p w14:paraId="4CBC690C" w14:textId="77777777" w:rsidR="005B159A" w:rsidRPr="00CC6A02" w:rsidRDefault="005B159A" w:rsidP="00304CE2">
            <w:pPr>
              <w:jc w:val="center"/>
              <w:rPr>
                <w:sz w:val="19"/>
                <w:szCs w:val="19"/>
              </w:rPr>
            </w:pPr>
          </w:p>
        </w:tc>
        <w:tc>
          <w:tcPr>
            <w:tcW w:w="1236" w:type="dxa"/>
            <w:tcBorders>
              <w:top w:val="nil"/>
              <w:left w:val="nil"/>
              <w:bottom w:val="nil"/>
              <w:right w:val="nil"/>
            </w:tcBorders>
            <w:noWrap/>
            <w:vAlign w:val="bottom"/>
          </w:tcPr>
          <w:p w14:paraId="7316CBDF" w14:textId="77777777" w:rsidR="005B159A" w:rsidRPr="00CC6A02" w:rsidRDefault="005B159A" w:rsidP="00304CE2">
            <w:pPr>
              <w:jc w:val="center"/>
              <w:rPr>
                <w:sz w:val="19"/>
                <w:szCs w:val="19"/>
              </w:rPr>
            </w:pPr>
          </w:p>
        </w:tc>
        <w:tc>
          <w:tcPr>
            <w:tcW w:w="666" w:type="dxa"/>
            <w:tcBorders>
              <w:top w:val="nil"/>
              <w:left w:val="nil"/>
              <w:bottom w:val="nil"/>
              <w:right w:val="nil"/>
            </w:tcBorders>
            <w:noWrap/>
            <w:vAlign w:val="bottom"/>
          </w:tcPr>
          <w:p w14:paraId="4C981409" w14:textId="77777777" w:rsidR="005B159A" w:rsidRPr="00CC6A02" w:rsidRDefault="005B159A" w:rsidP="00304CE2">
            <w:pPr>
              <w:jc w:val="center"/>
              <w:rPr>
                <w:sz w:val="19"/>
                <w:szCs w:val="19"/>
              </w:rPr>
            </w:pPr>
          </w:p>
        </w:tc>
        <w:tc>
          <w:tcPr>
            <w:tcW w:w="698" w:type="dxa"/>
            <w:tcBorders>
              <w:top w:val="nil"/>
              <w:left w:val="nil"/>
              <w:bottom w:val="nil"/>
              <w:right w:val="nil"/>
            </w:tcBorders>
            <w:noWrap/>
            <w:vAlign w:val="bottom"/>
          </w:tcPr>
          <w:p w14:paraId="01457803" w14:textId="77777777" w:rsidR="005B159A" w:rsidRPr="00CC6A02" w:rsidRDefault="005B159A" w:rsidP="00304CE2">
            <w:pPr>
              <w:jc w:val="center"/>
              <w:rPr>
                <w:color w:val="000000"/>
                <w:sz w:val="19"/>
                <w:szCs w:val="19"/>
              </w:rPr>
            </w:pPr>
            <w:r w:rsidRPr="00CC6A02">
              <w:rPr>
                <w:color w:val="000000"/>
                <w:sz w:val="19"/>
                <w:szCs w:val="19"/>
              </w:rPr>
              <w:t>1.01</w:t>
            </w:r>
          </w:p>
        </w:tc>
      </w:tr>
      <w:tr w:rsidR="005B159A" w:rsidRPr="00190F7C" w14:paraId="4B846647" w14:textId="77777777" w:rsidTr="00FF28A5">
        <w:trPr>
          <w:trHeight w:val="290"/>
        </w:trPr>
        <w:tc>
          <w:tcPr>
            <w:tcW w:w="1039" w:type="dxa"/>
            <w:tcBorders>
              <w:top w:val="nil"/>
              <w:left w:val="nil"/>
              <w:bottom w:val="nil"/>
              <w:right w:val="nil"/>
            </w:tcBorders>
            <w:noWrap/>
            <w:vAlign w:val="bottom"/>
          </w:tcPr>
          <w:p w14:paraId="337FB48C" w14:textId="77777777" w:rsidR="005B159A" w:rsidRPr="00CC6A02" w:rsidRDefault="005B159A" w:rsidP="00304CE2">
            <w:pPr>
              <w:rPr>
                <w:color w:val="000000"/>
                <w:sz w:val="19"/>
                <w:szCs w:val="19"/>
              </w:rPr>
            </w:pPr>
            <w:r w:rsidRPr="00CC6A02">
              <w:rPr>
                <w:color w:val="000000"/>
                <w:sz w:val="19"/>
                <w:szCs w:val="19"/>
              </w:rPr>
              <w:t>COMP</w:t>
            </w:r>
          </w:p>
        </w:tc>
        <w:tc>
          <w:tcPr>
            <w:tcW w:w="1236" w:type="dxa"/>
            <w:tcBorders>
              <w:top w:val="nil"/>
              <w:left w:val="nil"/>
              <w:bottom w:val="nil"/>
              <w:right w:val="nil"/>
            </w:tcBorders>
            <w:noWrap/>
            <w:vAlign w:val="bottom"/>
          </w:tcPr>
          <w:p w14:paraId="453E3D0B" w14:textId="77777777" w:rsidR="005B159A" w:rsidRPr="00CC6A02" w:rsidRDefault="005B159A" w:rsidP="00304CE2">
            <w:pPr>
              <w:jc w:val="center"/>
              <w:rPr>
                <w:color w:val="000000"/>
                <w:sz w:val="19"/>
                <w:szCs w:val="19"/>
              </w:rPr>
            </w:pPr>
            <w:r w:rsidRPr="00CC6A02">
              <w:rPr>
                <w:color w:val="000000"/>
                <w:sz w:val="19"/>
                <w:szCs w:val="19"/>
              </w:rPr>
              <w:t>0.0133**</w:t>
            </w:r>
          </w:p>
        </w:tc>
        <w:tc>
          <w:tcPr>
            <w:tcW w:w="1134" w:type="dxa"/>
            <w:tcBorders>
              <w:top w:val="nil"/>
              <w:left w:val="nil"/>
              <w:bottom w:val="nil"/>
              <w:right w:val="nil"/>
            </w:tcBorders>
            <w:noWrap/>
            <w:vAlign w:val="bottom"/>
          </w:tcPr>
          <w:p w14:paraId="7FB8B532" w14:textId="77777777" w:rsidR="005B159A" w:rsidRPr="00CC6A02" w:rsidRDefault="005B159A" w:rsidP="00304CE2">
            <w:pPr>
              <w:jc w:val="center"/>
              <w:rPr>
                <w:color w:val="000000"/>
                <w:sz w:val="19"/>
                <w:szCs w:val="19"/>
              </w:rPr>
            </w:pPr>
            <w:r w:rsidRPr="00CC6A02">
              <w:rPr>
                <w:color w:val="000000"/>
                <w:sz w:val="19"/>
                <w:szCs w:val="19"/>
              </w:rPr>
              <w:t>0.0075</w:t>
            </w:r>
          </w:p>
        </w:tc>
        <w:tc>
          <w:tcPr>
            <w:tcW w:w="1260" w:type="dxa"/>
            <w:tcBorders>
              <w:top w:val="nil"/>
              <w:left w:val="nil"/>
              <w:bottom w:val="nil"/>
              <w:right w:val="nil"/>
            </w:tcBorders>
            <w:noWrap/>
            <w:vAlign w:val="bottom"/>
          </w:tcPr>
          <w:p w14:paraId="6C0C3613" w14:textId="77777777" w:rsidR="005B159A" w:rsidRPr="00CC6A02" w:rsidRDefault="005B159A" w:rsidP="00304CE2">
            <w:pPr>
              <w:jc w:val="center"/>
              <w:rPr>
                <w:color w:val="000000"/>
                <w:sz w:val="19"/>
                <w:szCs w:val="19"/>
              </w:rPr>
            </w:pPr>
            <w:r w:rsidRPr="00CC6A02">
              <w:rPr>
                <w:color w:val="000000"/>
                <w:sz w:val="19"/>
                <w:szCs w:val="19"/>
              </w:rPr>
              <w:t>1.000</w:t>
            </w:r>
          </w:p>
        </w:tc>
        <w:tc>
          <w:tcPr>
            <w:tcW w:w="1236" w:type="dxa"/>
            <w:tcBorders>
              <w:top w:val="nil"/>
              <w:left w:val="nil"/>
              <w:bottom w:val="nil"/>
              <w:right w:val="nil"/>
            </w:tcBorders>
            <w:noWrap/>
            <w:vAlign w:val="bottom"/>
          </w:tcPr>
          <w:p w14:paraId="2B835AEF" w14:textId="77777777" w:rsidR="005B159A" w:rsidRPr="00CC6A02" w:rsidRDefault="005B159A" w:rsidP="00304CE2">
            <w:pPr>
              <w:jc w:val="center"/>
              <w:rPr>
                <w:color w:val="000000"/>
                <w:sz w:val="19"/>
                <w:szCs w:val="19"/>
              </w:rPr>
            </w:pPr>
          </w:p>
        </w:tc>
        <w:tc>
          <w:tcPr>
            <w:tcW w:w="1236" w:type="dxa"/>
            <w:tcBorders>
              <w:top w:val="nil"/>
              <w:left w:val="nil"/>
              <w:bottom w:val="nil"/>
              <w:right w:val="nil"/>
            </w:tcBorders>
            <w:noWrap/>
            <w:vAlign w:val="bottom"/>
          </w:tcPr>
          <w:p w14:paraId="6944492E" w14:textId="77777777" w:rsidR="005B159A" w:rsidRPr="00CC6A02" w:rsidRDefault="005B159A" w:rsidP="00304CE2">
            <w:pPr>
              <w:jc w:val="center"/>
              <w:rPr>
                <w:sz w:val="19"/>
                <w:szCs w:val="19"/>
              </w:rPr>
            </w:pPr>
          </w:p>
        </w:tc>
        <w:tc>
          <w:tcPr>
            <w:tcW w:w="666" w:type="dxa"/>
            <w:tcBorders>
              <w:top w:val="nil"/>
              <w:left w:val="nil"/>
              <w:bottom w:val="nil"/>
              <w:right w:val="nil"/>
            </w:tcBorders>
            <w:noWrap/>
            <w:vAlign w:val="bottom"/>
          </w:tcPr>
          <w:p w14:paraId="7BB8590D" w14:textId="77777777" w:rsidR="005B159A" w:rsidRPr="00CC6A02" w:rsidRDefault="005B159A" w:rsidP="00304CE2">
            <w:pPr>
              <w:jc w:val="center"/>
              <w:rPr>
                <w:sz w:val="19"/>
                <w:szCs w:val="19"/>
              </w:rPr>
            </w:pPr>
          </w:p>
        </w:tc>
        <w:tc>
          <w:tcPr>
            <w:tcW w:w="698" w:type="dxa"/>
            <w:tcBorders>
              <w:top w:val="nil"/>
              <w:left w:val="nil"/>
              <w:bottom w:val="nil"/>
              <w:right w:val="nil"/>
            </w:tcBorders>
            <w:noWrap/>
            <w:vAlign w:val="bottom"/>
          </w:tcPr>
          <w:p w14:paraId="6A3D44C7" w14:textId="77777777" w:rsidR="005B159A" w:rsidRPr="00CC6A02" w:rsidRDefault="005B159A" w:rsidP="00304CE2">
            <w:pPr>
              <w:jc w:val="center"/>
              <w:rPr>
                <w:color w:val="000000"/>
                <w:sz w:val="19"/>
                <w:szCs w:val="19"/>
              </w:rPr>
            </w:pPr>
            <w:r w:rsidRPr="00CC6A02">
              <w:rPr>
                <w:color w:val="000000"/>
                <w:sz w:val="19"/>
                <w:szCs w:val="19"/>
              </w:rPr>
              <w:t>1.04</w:t>
            </w:r>
          </w:p>
        </w:tc>
      </w:tr>
      <w:tr w:rsidR="005B159A" w:rsidRPr="00190F7C" w14:paraId="7032F455" w14:textId="77777777" w:rsidTr="00FF28A5">
        <w:trPr>
          <w:trHeight w:val="290"/>
        </w:trPr>
        <w:tc>
          <w:tcPr>
            <w:tcW w:w="1039" w:type="dxa"/>
            <w:tcBorders>
              <w:top w:val="nil"/>
              <w:left w:val="nil"/>
              <w:bottom w:val="nil"/>
              <w:right w:val="nil"/>
            </w:tcBorders>
            <w:noWrap/>
            <w:vAlign w:val="bottom"/>
          </w:tcPr>
          <w:p w14:paraId="31547F6B" w14:textId="77777777" w:rsidR="005B159A" w:rsidRPr="00CC6A02" w:rsidRDefault="005B159A" w:rsidP="00304CE2">
            <w:pPr>
              <w:rPr>
                <w:color w:val="000000"/>
                <w:sz w:val="19"/>
                <w:szCs w:val="19"/>
              </w:rPr>
            </w:pPr>
            <w:r w:rsidRPr="00CC6A02">
              <w:rPr>
                <w:color w:val="000000"/>
                <w:sz w:val="19"/>
                <w:szCs w:val="19"/>
              </w:rPr>
              <w:t>ENVP</w:t>
            </w:r>
          </w:p>
        </w:tc>
        <w:tc>
          <w:tcPr>
            <w:tcW w:w="1236" w:type="dxa"/>
            <w:tcBorders>
              <w:top w:val="nil"/>
              <w:left w:val="nil"/>
              <w:bottom w:val="nil"/>
              <w:right w:val="nil"/>
            </w:tcBorders>
            <w:noWrap/>
            <w:vAlign w:val="bottom"/>
          </w:tcPr>
          <w:p w14:paraId="11A90C9B" w14:textId="77777777" w:rsidR="005B159A" w:rsidRPr="00CC6A02" w:rsidRDefault="005B159A" w:rsidP="00304CE2">
            <w:pPr>
              <w:jc w:val="center"/>
              <w:rPr>
                <w:color w:val="000000"/>
                <w:sz w:val="19"/>
                <w:szCs w:val="19"/>
              </w:rPr>
            </w:pPr>
            <w:r w:rsidRPr="00CC6A02">
              <w:rPr>
                <w:color w:val="000000"/>
                <w:sz w:val="19"/>
                <w:szCs w:val="19"/>
              </w:rPr>
              <w:t>0.6013***</w:t>
            </w:r>
          </w:p>
        </w:tc>
        <w:tc>
          <w:tcPr>
            <w:tcW w:w="1134" w:type="dxa"/>
            <w:tcBorders>
              <w:top w:val="nil"/>
              <w:left w:val="nil"/>
              <w:bottom w:val="nil"/>
              <w:right w:val="nil"/>
            </w:tcBorders>
            <w:noWrap/>
            <w:vAlign w:val="bottom"/>
          </w:tcPr>
          <w:p w14:paraId="1D555CE5" w14:textId="77777777" w:rsidR="005B159A" w:rsidRPr="00CC6A02" w:rsidRDefault="005B159A" w:rsidP="00304CE2">
            <w:pPr>
              <w:jc w:val="center"/>
              <w:rPr>
                <w:color w:val="000000"/>
                <w:sz w:val="19"/>
                <w:szCs w:val="19"/>
              </w:rPr>
            </w:pPr>
            <w:r w:rsidRPr="00CC6A02">
              <w:rPr>
                <w:color w:val="000000"/>
                <w:sz w:val="19"/>
                <w:szCs w:val="19"/>
              </w:rPr>
              <w:t>-0.0099</w:t>
            </w:r>
          </w:p>
        </w:tc>
        <w:tc>
          <w:tcPr>
            <w:tcW w:w="1260" w:type="dxa"/>
            <w:tcBorders>
              <w:top w:val="nil"/>
              <w:left w:val="nil"/>
              <w:bottom w:val="nil"/>
              <w:right w:val="nil"/>
            </w:tcBorders>
            <w:noWrap/>
            <w:vAlign w:val="bottom"/>
          </w:tcPr>
          <w:p w14:paraId="6ED974B6" w14:textId="77777777" w:rsidR="005B159A" w:rsidRPr="00CC6A02" w:rsidRDefault="005B159A" w:rsidP="00304CE2">
            <w:pPr>
              <w:jc w:val="center"/>
              <w:rPr>
                <w:color w:val="000000"/>
                <w:sz w:val="19"/>
                <w:szCs w:val="19"/>
              </w:rPr>
            </w:pPr>
            <w:r w:rsidRPr="00CC6A02">
              <w:rPr>
                <w:color w:val="000000"/>
                <w:sz w:val="19"/>
                <w:szCs w:val="19"/>
              </w:rPr>
              <w:t>-0.1133**</w:t>
            </w:r>
          </w:p>
        </w:tc>
        <w:tc>
          <w:tcPr>
            <w:tcW w:w="1236" w:type="dxa"/>
            <w:tcBorders>
              <w:top w:val="nil"/>
              <w:left w:val="nil"/>
              <w:bottom w:val="nil"/>
              <w:right w:val="nil"/>
            </w:tcBorders>
            <w:noWrap/>
            <w:vAlign w:val="bottom"/>
          </w:tcPr>
          <w:p w14:paraId="275F5AD0" w14:textId="77777777" w:rsidR="005B159A" w:rsidRPr="00CC6A02" w:rsidRDefault="005B159A" w:rsidP="00304CE2">
            <w:pPr>
              <w:jc w:val="center"/>
              <w:rPr>
                <w:color w:val="000000"/>
                <w:sz w:val="19"/>
                <w:szCs w:val="19"/>
              </w:rPr>
            </w:pPr>
            <w:r w:rsidRPr="00CC6A02">
              <w:rPr>
                <w:color w:val="000000"/>
                <w:sz w:val="19"/>
                <w:szCs w:val="19"/>
              </w:rPr>
              <w:t>1.000</w:t>
            </w:r>
          </w:p>
        </w:tc>
        <w:tc>
          <w:tcPr>
            <w:tcW w:w="1236" w:type="dxa"/>
            <w:tcBorders>
              <w:top w:val="nil"/>
              <w:left w:val="nil"/>
              <w:bottom w:val="nil"/>
              <w:right w:val="nil"/>
            </w:tcBorders>
            <w:noWrap/>
            <w:vAlign w:val="bottom"/>
          </w:tcPr>
          <w:p w14:paraId="102B983C" w14:textId="77777777" w:rsidR="005B159A" w:rsidRPr="00CC6A02" w:rsidRDefault="005B159A" w:rsidP="00304CE2">
            <w:pPr>
              <w:jc w:val="center"/>
              <w:rPr>
                <w:color w:val="000000"/>
                <w:sz w:val="19"/>
                <w:szCs w:val="19"/>
              </w:rPr>
            </w:pPr>
          </w:p>
        </w:tc>
        <w:tc>
          <w:tcPr>
            <w:tcW w:w="666" w:type="dxa"/>
            <w:tcBorders>
              <w:top w:val="nil"/>
              <w:left w:val="nil"/>
              <w:bottom w:val="nil"/>
              <w:right w:val="nil"/>
            </w:tcBorders>
            <w:noWrap/>
            <w:vAlign w:val="bottom"/>
          </w:tcPr>
          <w:p w14:paraId="737BF1E3" w14:textId="77777777" w:rsidR="005B159A" w:rsidRPr="00CC6A02" w:rsidRDefault="005B159A" w:rsidP="00304CE2">
            <w:pPr>
              <w:jc w:val="center"/>
              <w:rPr>
                <w:sz w:val="19"/>
                <w:szCs w:val="19"/>
              </w:rPr>
            </w:pPr>
          </w:p>
        </w:tc>
        <w:tc>
          <w:tcPr>
            <w:tcW w:w="698" w:type="dxa"/>
            <w:tcBorders>
              <w:top w:val="nil"/>
              <w:left w:val="nil"/>
              <w:bottom w:val="nil"/>
              <w:right w:val="nil"/>
            </w:tcBorders>
            <w:noWrap/>
            <w:vAlign w:val="bottom"/>
          </w:tcPr>
          <w:p w14:paraId="74FB853A" w14:textId="77777777" w:rsidR="005B159A" w:rsidRPr="00CC6A02" w:rsidRDefault="005B159A" w:rsidP="00304CE2">
            <w:pPr>
              <w:jc w:val="center"/>
              <w:rPr>
                <w:color w:val="000000"/>
                <w:sz w:val="19"/>
                <w:szCs w:val="19"/>
              </w:rPr>
            </w:pPr>
            <w:r w:rsidRPr="00CC6A02">
              <w:rPr>
                <w:color w:val="000000"/>
                <w:sz w:val="19"/>
                <w:szCs w:val="19"/>
              </w:rPr>
              <w:t>1.17</w:t>
            </w:r>
          </w:p>
        </w:tc>
      </w:tr>
      <w:tr w:rsidR="005B159A" w:rsidRPr="00190F7C" w14:paraId="74B3A32C" w14:textId="77777777" w:rsidTr="00FF28A5">
        <w:trPr>
          <w:trHeight w:val="290"/>
        </w:trPr>
        <w:tc>
          <w:tcPr>
            <w:tcW w:w="1039" w:type="dxa"/>
            <w:tcBorders>
              <w:top w:val="nil"/>
              <w:left w:val="nil"/>
              <w:right w:val="nil"/>
            </w:tcBorders>
            <w:noWrap/>
            <w:vAlign w:val="bottom"/>
          </w:tcPr>
          <w:p w14:paraId="6DD4613B" w14:textId="77777777" w:rsidR="005B159A" w:rsidRPr="00CC6A02" w:rsidRDefault="005B159A" w:rsidP="00304CE2">
            <w:pPr>
              <w:rPr>
                <w:color w:val="000000"/>
                <w:sz w:val="19"/>
                <w:szCs w:val="19"/>
              </w:rPr>
            </w:pPr>
            <w:r w:rsidRPr="00CC6A02">
              <w:rPr>
                <w:color w:val="000000"/>
                <w:sz w:val="19"/>
                <w:szCs w:val="19"/>
              </w:rPr>
              <w:t>CSZE</w:t>
            </w:r>
          </w:p>
        </w:tc>
        <w:tc>
          <w:tcPr>
            <w:tcW w:w="1236" w:type="dxa"/>
            <w:tcBorders>
              <w:top w:val="nil"/>
              <w:left w:val="nil"/>
              <w:right w:val="nil"/>
            </w:tcBorders>
            <w:noWrap/>
            <w:vAlign w:val="bottom"/>
          </w:tcPr>
          <w:p w14:paraId="07A2F41F" w14:textId="77777777" w:rsidR="005B159A" w:rsidRPr="00CC6A02" w:rsidRDefault="005B159A" w:rsidP="00304CE2">
            <w:pPr>
              <w:jc w:val="center"/>
              <w:rPr>
                <w:color w:val="000000"/>
                <w:sz w:val="19"/>
                <w:szCs w:val="19"/>
              </w:rPr>
            </w:pPr>
            <w:r w:rsidRPr="00CC6A02">
              <w:rPr>
                <w:color w:val="000000"/>
                <w:sz w:val="19"/>
                <w:szCs w:val="19"/>
              </w:rPr>
              <w:t>0.3544***</w:t>
            </w:r>
          </w:p>
        </w:tc>
        <w:tc>
          <w:tcPr>
            <w:tcW w:w="1134" w:type="dxa"/>
            <w:tcBorders>
              <w:top w:val="nil"/>
              <w:left w:val="nil"/>
              <w:right w:val="nil"/>
            </w:tcBorders>
            <w:noWrap/>
            <w:vAlign w:val="bottom"/>
          </w:tcPr>
          <w:p w14:paraId="117BFB18" w14:textId="77777777" w:rsidR="005B159A" w:rsidRPr="00CC6A02" w:rsidRDefault="005B159A" w:rsidP="00304CE2">
            <w:pPr>
              <w:jc w:val="center"/>
              <w:rPr>
                <w:color w:val="000000"/>
                <w:sz w:val="19"/>
                <w:szCs w:val="19"/>
              </w:rPr>
            </w:pPr>
            <w:r w:rsidRPr="00CC6A02">
              <w:rPr>
                <w:color w:val="000000"/>
                <w:sz w:val="19"/>
                <w:szCs w:val="19"/>
              </w:rPr>
              <w:t>-0.0963*</w:t>
            </w:r>
          </w:p>
        </w:tc>
        <w:tc>
          <w:tcPr>
            <w:tcW w:w="1260" w:type="dxa"/>
            <w:tcBorders>
              <w:top w:val="nil"/>
              <w:left w:val="nil"/>
              <w:right w:val="nil"/>
            </w:tcBorders>
            <w:noWrap/>
            <w:vAlign w:val="bottom"/>
          </w:tcPr>
          <w:p w14:paraId="5C5C732D" w14:textId="77777777" w:rsidR="005B159A" w:rsidRPr="00CC6A02" w:rsidRDefault="005B159A" w:rsidP="00304CE2">
            <w:pPr>
              <w:jc w:val="center"/>
              <w:rPr>
                <w:color w:val="000000"/>
                <w:sz w:val="19"/>
                <w:szCs w:val="19"/>
              </w:rPr>
            </w:pPr>
            <w:r w:rsidRPr="00CC6A02">
              <w:rPr>
                <w:color w:val="000000"/>
                <w:sz w:val="19"/>
                <w:szCs w:val="19"/>
              </w:rPr>
              <w:t>0.1078**</w:t>
            </w:r>
          </w:p>
        </w:tc>
        <w:tc>
          <w:tcPr>
            <w:tcW w:w="1236" w:type="dxa"/>
            <w:tcBorders>
              <w:top w:val="nil"/>
              <w:left w:val="nil"/>
              <w:right w:val="nil"/>
            </w:tcBorders>
            <w:noWrap/>
            <w:vAlign w:val="bottom"/>
          </w:tcPr>
          <w:p w14:paraId="61BB6CAC" w14:textId="77777777" w:rsidR="005B159A" w:rsidRPr="00CC6A02" w:rsidRDefault="005B159A" w:rsidP="00304CE2">
            <w:pPr>
              <w:jc w:val="center"/>
              <w:rPr>
                <w:color w:val="000000"/>
                <w:sz w:val="19"/>
                <w:szCs w:val="19"/>
              </w:rPr>
            </w:pPr>
            <w:r w:rsidRPr="00CC6A02">
              <w:rPr>
                <w:color w:val="000000"/>
                <w:sz w:val="19"/>
                <w:szCs w:val="19"/>
              </w:rPr>
              <w:t>0.3509***</w:t>
            </w:r>
          </w:p>
        </w:tc>
        <w:tc>
          <w:tcPr>
            <w:tcW w:w="1236" w:type="dxa"/>
            <w:tcBorders>
              <w:top w:val="nil"/>
              <w:left w:val="nil"/>
              <w:right w:val="nil"/>
            </w:tcBorders>
            <w:noWrap/>
            <w:vAlign w:val="bottom"/>
          </w:tcPr>
          <w:p w14:paraId="6E44EED4" w14:textId="77777777" w:rsidR="005B159A" w:rsidRPr="00CC6A02" w:rsidRDefault="005B159A" w:rsidP="00304CE2">
            <w:pPr>
              <w:jc w:val="center"/>
              <w:rPr>
                <w:color w:val="000000"/>
                <w:sz w:val="19"/>
                <w:szCs w:val="19"/>
              </w:rPr>
            </w:pPr>
            <w:r w:rsidRPr="00CC6A02">
              <w:rPr>
                <w:color w:val="000000"/>
                <w:sz w:val="19"/>
                <w:szCs w:val="19"/>
              </w:rPr>
              <w:t>1.000</w:t>
            </w:r>
          </w:p>
        </w:tc>
        <w:tc>
          <w:tcPr>
            <w:tcW w:w="666" w:type="dxa"/>
            <w:tcBorders>
              <w:top w:val="nil"/>
              <w:left w:val="nil"/>
              <w:right w:val="nil"/>
            </w:tcBorders>
            <w:noWrap/>
            <w:vAlign w:val="bottom"/>
          </w:tcPr>
          <w:p w14:paraId="658B2DE1" w14:textId="77777777" w:rsidR="005B159A" w:rsidRPr="00CC6A02" w:rsidRDefault="005B159A" w:rsidP="00304CE2">
            <w:pPr>
              <w:jc w:val="center"/>
              <w:rPr>
                <w:color w:val="000000"/>
                <w:sz w:val="19"/>
                <w:szCs w:val="19"/>
              </w:rPr>
            </w:pPr>
          </w:p>
        </w:tc>
        <w:tc>
          <w:tcPr>
            <w:tcW w:w="698" w:type="dxa"/>
            <w:tcBorders>
              <w:top w:val="nil"/>
              <w:left w:val="nil"/>
              <w:right w:val="nil"/>
            </w:tcBorders>
            <w:noWrap/>
            <w:vAlign w:val="bottom"/>
          </w:tcPr>
          <w:p w14:paraId="276BFC1D" w14:textId="77777777" w:rsidR="005B159A" w:rsidRPr="00CC6A02" w:rsidRDefault="005B159A" w:rsidP="00304CE2">
            <w:pPr>
              <w:jc w:val="center"/>
              <w:rPr>
                <w:color w:val="000000"/>
                <w:sz w:val="19"/>
                <w:szCs w:val="19"/>
              </w:rPr>
            </w:pPr>
            <w:r w:rsidRPr="00CC6A02">
              <w:rPr>
                <w:color w:val="000000"/>
                <w:sz w:val="19"/>
                <w:szCs w:val="19"/>
              </w:rPr>
              <w:t>1.23</w:t>
            </w:r>
          </w:p>
        </w:tc>
      </w:tr>
      <w:tr w:rsidR="005B159A" w:rsidRPr="00190F7C" w14:paraId="2B7005E7" w14:textId="77777777" w:rsidTr="00FF28A5">
        <w:trPr>
          <w:trHeight w:val="290"/>
        </w:trPr>
        <w:tc>
          <w:tcPr>
            <w:tcW w:w="1039" w:type="dxa"/>
            <w:tcBorders>
              <w:top w:val="nil"/>
              <w:left w:val="nil"/>
              <w:bottom w:val="single" w:sz="4" w:space="0" w:color="auto"/>
              <w:right w:val="nil"/>
            </w:tcBorders>
            <w:noWrap/>
            <w:vAlign w:val="bottom"/>
          </w:tcPr>
          <w:p w14:paraId="2A87C97E" w14:textId="77777777" w:rsidR="005B159A" w:rsidRPr="00CC6A02" w:rsidRDefault="005B159A" w:rsidP="00304CE2">
            <w:pPr>
              <w:rPr>
                <w:color w:val="000000"/>
                <w:sz w:val="19"/>
                <w:szCs w:val="19"/>
              </w:rPr>
            </w:pPr>
            <w:r w:rsidRPr="00CC6A02">
              <w:rPr>
                <w:color w:val="000000"/>
                <w:sz w:val="19"/>
                <w:szCs w:val="19"/>
              </w:rPr>
              <w:t>LEV</w:t>
            </w:r>
          </w:p>
        </w:tc>
        <w:tc>
          <w:tcPr>
            <w:tcW w:w="1236" w:type="dxa"/>
            <w:tcBorders>
              <w:top w:val="nil"/>
              <w:left w:val="nil"/>
              <w:bottom w:val="single" w:sz="4" w:space="0" w:color="auto"/>
              <w:right w:val="nil"/>
            </w:tcBorders>
            <w:noWrap/>
            <w:vAlign w:val="bottom"/>
          </w:tcPr>
          <w:p w14:paraId="3649C004" w14:textId="77777777" w:rsidR="005B159A" w:rsidRPr="00CC6A02" w:rsidRDefault="005B159A" w:rsidP="00304CE2">
            <w:pPr>
              <w:jc w:val="center"/>
              <w:rPr>
                <w:color w:val="000000"/>
                <w:sz w:val="19"/>
                <w:szCs w:val="19"/>
              </w:rPr>
            </w:pPr>
            <w:r w:rsidRPr="00CC6A02">
              <w:rPr>
                <w:color w:val="000000"/>
                <w:sz w:val="19"/>
                <w:szCs w:val="19"/>
              </w:rPr>
              <w:t>0.0582**</w:t>
            </w:r>
          </w:p>
        </w:tc>
        <w:tc>
          <w:tcPr>
            <w:tcW w:w="1134" w:type="dxa"/>
            <w:tcBorders>
              <w:top w:val="nil"/>
              <w:left w:val="nil"/>
              <w:bottom w:val="single" w:sz="4" w:space="0" w:color="auto"/>
              <w:right w:val="nil"/>
            </w:tcBorders>
            <w:noWrap/>
            <w:vAlign w:val="bottom"/>
          </w:tcPr>
          <w:p w14:paraId="465819BE" w14:textId="77777777" w:rsidR="005B159A" w:rsidRPr="00CC6A02" w:rsidRDefault="005B159A" w:rsidP="00304CE2">
            <w:pPr>
              <w:jc w:val="center"/>
              <w:rPr>
                <w:color w:val="000000"/>
                <w:sz w:val="19"/>
                <w:szCs w:val="19"/>
              </w:rPr>
            </w:pPr>
            <w:r w:rsidRPr="00CC6A02">
              <w:rPr>
                <w:color w:val="000000"/>
                <w:sz w:val="19"/>
                <w:szCs w:val="19"/>
              </w:rPr>
              <w:t>0.0036</w:t>
            </w:r>
          </w:p>
        </w:tc>
        <w:tc>
          <w:tcPr>
            <w:tcW w:w="1260" w:type="dxa"/>
            <w:tcBorders>
              <w:top w:val="nil"/>
              <w:left w:val="nil"/>
              <w:bottom w:val="single" w:sz="4" w:space="0" w:color="auto"/>
              <w:right w:val="nil"/>
            </w:tcBorders>
            <w:noWrap/>
            <w:vAlign w:val="bottom"/>
          </w:tcPr>
          <w:p w14:paraId="3CE06205" w14:textId="77777777" w:rsidR="005B159A" w:rsidRPr="00CC6A02" w:rsidRDefault="005B159A" w:rsidP="00304CE2">
            <w:pPr>
              <w:jc w:val="center"/>
              <w:rPr>
                <w:color w:val="000000"/>
                <w:sz w:val="19"/>
                <w:szCs w:val="19"/>
              </w:rPr>
            </w:pPr>
            <w:r w:rsidRPr="00CC6A02">
              <w:rPr>
                <w:color w:val="000000"/>
                <w:sz w:val="19"/>
                <w:szCs w:val="19"/>
              </w:rPr>
              <w:t>-0.0194</w:t>
            </w:r>
          </w:p>
        </w:tc>
        <w:tc>
          <w:tcPr>
            <w:tcW w:w="1236" w:type="dxa"/>
            <w:tcBorders>
              <w:top w:val="nil"/>
              <w:left w:val="nil"/>
              <w:bottom w:val="single" w:sz="4" w:space="0" w:color="auto"/>
              <w:right w:val="nil"/>
            </w:tcBorders>
            <w:noWrap/>
            <w:vAlign w:val="bottom"/>
          </w:tcPr>
          <w:p w14:paraId="071D250C" w14:textId="77777777" w:rsidR="005B159A" w:rsidRPr="00CC6A02" w:rsidRDefault="005B159A" w:rsidP="00304CE2">
            <w:pPr>
              <w:jc w:val="center"/>
              <w:rPr>
                <w:color w:val="000000"/>
                <w:sz w:val="19"/>
                <w:szCs w:val="19"/>
              </w:rPr>
            </w:pPr>
            <w:r w:rsidRPr="00CC6A02">
              <w:rPr>
                <w:color w:val="000000"/>
                <w:sz w:val="19"/>
                <w:szCs w:val="19"/>
              </w:rPr>
              <w:t>0.1237**</w:t>
            </w:r>
          </w:p>
        </w:tc>
        <w:tc>
          <w:tcPr>
            <w:tcW w:w="1236" w:type="dxa"/>
            <w:tcBorders>
              <w:top w:val="nil"/>
              <w:left w:val="nil"/>
              <w:bottom w:val="single" w:sz="4" w:space="0" w:color="auto"/>
              <w:right w:val="nil"/>
            </w:tcBorders>
            <w:noWrap/>
            <w:vAlign w:val="bottom"/>
          </w:tcPr>
          <w:p w14:paraId="0422FEED" w14:textId="77777777" w:rsidR="005B159A" w:rsidRPr="00CC6A02" w:rsidRDefault="005B159A" w:rsidP="00304CE2">
            <w:pPr>
              <w:jc w:val="center"/>
              <w:rPr>
                <w:color w:val="000000"/>
                <w:sz w:val="19"/>
                <w:szCs w:val="19"/>
              </w:rPr>
            </w:pPr>
            <w:r w:rsidRPr="00CC6A02">
              <w:rPr>
                <w:color w:val="000000"/>
                <w:sz w:val="19"/>
                <w:szCs w:val="19"/>
              </w:rPr>
              <w:t>0.2303***</w:t>
            </w:r>
          </w:p>
        </w:tc>
        <w:tc>
          <w:tcPr>
            <w:tcW w:w="666" w:type="dxa"/>
            <w:tcBorders>
              <w:top w:val="nil"/>
              <w:left w:val="nil"/>
              <w:bottom w:val="single" w:sz="4" w:space="0" w:color="auto"/>
              <w:right w:val="nil"/>
            </w:tcBorders>
            <w:noWrap/>
            <w:vAlign w:val="bottom"/>
          </w:tcPr>
          <w:p w14:paraId="4D9A7B1A" w14:textId="77777777" w:rsidR="005B159A" w:rsidRPr="00CC6A02" w:rsidRDefault="005B159A" w:rsidP="00304CE2">
            <w:pPr>
              <w:jc w:val="center"/>
              <w:rPr>
                <w:color w:val="000000"/>
                <w:sz w:val="19"/>
                <w:szCs w:val="19"/>
              </w:rPr>
            </w:pPr>
            <w:r w:rsidRPr="00CC6A02">
              <w:rPr>
                <w:color w:val="000000"/>
                <w:sz w:val="19"/>
                <w:szCs w:val="19"/>
              </w:rPr>
              <w:t>1.000</w:t>
            </w:r>
          </w:p>
        </w:tc>
        <w:tc>
          <w:tcPr>
            <w:tcW w:w="698" w:type="dxa"/>
            <w:tcBorders>
              <w:top w:val="nil"/>
              <w:left w:val="nil"/>
              <w:bottom w:val="single" w:sz="4" w:space="0" w:color="auto"/>
              <w:right w:val="nil"/>
            </w:tcBorders>
            <w:noWrap/>
            <w:vAlign w:val="bottom"/>
          </w:tcPr>
          <w:p w14:paraId="3A716658" w14:textId="77777777" w:rsidR="005B159A" w:rsidRPr="00CC6A02" w:rsidRDefault="005B159A" w:rsidP="00304CE2">
            <w:pPr>
              <w:jc w:val="center"/>
              <w:rPr>
                <w:color w:val="000000"/>
                <w:sz w:val="19"/>
                <w:szCs w:val="19"/>
              </w:rPr>
            </w:pPr>
            <w:r w:rsidRPr="00CC6A02">
              <w:rPr>
                <w:color w:val="000000"/>
                <w:sz w:val="19"/>
                <w:szCs w:val="19"/>
              </w:rPr>
              <w:t>1.06</w:t>
            </w:r>
          </w:p>
        </w:tc>
      </w:tr>
    </w:tbl>
    <w:p w14:paraId="039F30C9" w14:textId="77777777" w:rsidR="005B159A" w:rsidRPr="00190F7C" w:rsidRDefault="005B159A" w:rsidP="00D338D8">
      <w:pPr>
        <w:jc w:val="both"/>
      </w:pPr>
      <w:r w:rsidRPr="00190F7C">
        <w:t>Note: ***, ** and *indicate, 1%, 5% and 10% significance levels, respectively</w:t>
      </w:r>
    </w:p>
    <w:p w14:paraId="0D3B4A30" w14:textId="77777777" w:rsidR="00FF28A5" w:rsidRDefault="00FF28A5" w:rsidP="00D338D8">
      <w:pPr>
        <w:jc w:val="both"/>
        <w:rPr>
          <w:lang w:eastAsia="en-MY"/>
        </w:rPr>
      </w:pPr>
    </w:p>
    <w:p w14:paraId="0D1F3589" w14:textId="1FC96BDA" w:rsidR="005B159A" w:rsidRPr="00190F7C" w:rsidRDefault="005B159A" w:rsidP="00FF28A5">
      <w:pPr>
        <w:ind w:firstLine="284"/>
        <w:jc w:val="both"/>
      </w:pPr>
      <w:r w:rsidRPr="00190F7C">
        <w:rPr>
          <w:lang w:eastAsia="en-MY"/>
        </w:rPr>
        <w:t xml:space="preserve">Equally, LEV and SI have a positive correlation, meaning that the more a company depends on debt to finance its operations, the less money it may have to spend on SI techniques. The association matrix also shows that there is no multicollinearity between the predictors because the strongest correlations between the variables are all less than or equal to 0.72. </w:t>
      </w:r>
      <w:r w:rsidRPr="00190F7C">
        <w:t xml:space="preserve">Thus, multicollinearity exists when the independent variables are discovered to be highly related. According to the rule of thumb, a correlation coefficient of less than 0.9 cannot cause serious multicollinearity issues </w:t>
      </w:r>
      <w:r w:rsidRPr="00190F7C">
        <w:fldChar w:fldCharType="begin"/>
      </w:r>
      <w:r w:rsidRPr="00190F7C">
        <w:instrText>ADDIN CSL_CITATION {"citationItems":[{"id":"ITEM-1","itemData":{"author":[{"dropping-particle":"","family":"Pallant","given":"J.","non-dropping-particle":"","parse-names":false,"suffix":""}],"edition":"Fouth Edit","id":"ITEM-1","issued":{"date-parts":[["2013"]]},"number-of-pages":"1–349","publisher":"McGraw-Hill Education (UK)","title":"SPSS Survival Manual A step by step guide to data analysis using SPSS.","type":"book"},"uris":["http://www.mendeley.com/documents/?uuid=a8ca1a28-7462-48a4-8749-c34c4fb60e4a"]}],"mendeley":{"formattedCitation":"(Pallant, 2013)","plainTextFormattedCitation":"(Pallant, 2013)","previouslyFormattedCitation":"(Pallant, 2013)"},"properties":{"noteIndex":0},"schema":"https://github.com/citation-style-language/schema/raw/master/csl-citation.json"}</w:instrText>
      </w:r>
      <w:r w:rsidRPr="00190F7C">
        <w:fldChar w:fldCharType="separate"/>
      </w:r>
      <w:r w:rsidRPr="00190F7C">
        <w:t>(Pallant, 2013)</w:t>
      </w:r>
      <w:r w:rsidRPr="00190F7C">
        <w:fldChar w:fldCharType="end"/>
      </w:r>
      <w:r w:rsidRPr="00190F7C">
        <w:t xml:space="preserve">. </w:t>
      </w:r>
      <w:r w:rsidRPr="00190F7C">
        <w:rPr>
          <w:lang w:eastAsia="en-MY"/>
        </w:rPr>
        <w:t>Similarly, none of the regression analysis's variance inflation factors (VIF) are greater than 2.0, indicating that the model does not have significant multicollinearity (Sekaran &amp; Bougie, 2016).</w:t>
      </w:r>
    </w:p>
    <w:p w14:paraId="57584455" w14:textId="77777777" w:rsidR="00FF28A5" w:rsidRDefault="00FF28A5" w:rsidP="00D338D8">
      <w:pPr>
        <w:jc w:val="both"/>
        <w:rPr>
          <w:b/>
          <w:lang w:eastAsia="en-MY"/>
        </w:rPr>
      </w:pPr>
    </w:p>
    <w:p w14:paraId="01558A30" w14:textId="00DA721C" w:rsidR="005B159A" w:rsidRPr="00FF28A5" w:rsidRDefault="005B159A" w:rsidP="00D338D8">
      <w:pPr>
        <w:jc w:val="both"/>
        <w:rPr>
          <w:bCs/>
          <w:i/>
          <w:iCs/>
          <w:lang w:eastAsia="en-MY"/>
        </w:rPr>
      </w:pPr>
      <w:r w:rsidRPr="00FF28A5">
        <w:rPr>
          <w:bCs/>
          <w:i/>
          <w:iCs/>
          <w:lang w:eastAsia="en-MY"/>
        </w:rPr>
        <w:t>4.3 Regression Diagnostic Test</w:t>
      </w:r>
    </w:p>
    <w:p w14:paraId="0BD78D02" w14:textId="77777777" w:rsidR="005B159A" w:rsidRPr="00190F7C" w:rsidRDefault="005B159A" w:rsidP="00D338D8">
      <w:pPr>
        <w:jc w:val="both"/>
        <w:rPr>
          <w:b/>
          <w:bCs/>
        </w:rPr>
      </w:pPr>
    </w:p>
    <w:p w14:paraId="67493202" w14:textId="77777777" w:rsidR="005B159A" w:rsidRDefault="005B159A" w:rsidP="00D338D8">
      <w:pPr>
        <w:jc w:val="both"/>
      </w:pPr>
      <w:r w:rsidRPr="00FF28A5">
        <w:t>Table 4: Regression Diagnostic Test</w:t>
      </w:r>
    </w:p>
    <w:p w14:paraId="3C4A3A2F" w14:textId="77777777" w:rsidR="00FF28A5" w:rsidRPr="00FF28A5" w:rsidRDefault="00FF28A5" w:rsidP="00D338D8">
      <w:pPr>
        <w:jc w:val="both"/>
      </w:pPr>
    </w:p>
    <w:tbl>
      <w:tblPr>
        <w:tblW w:w="8509" w:type="dxa"/>
        <w:tblLook w:val="04A0" w:firstRow="1" w:lastRow="0" w:firstColumn="1" w:lastColumn="0" w:noHBand="0" w:noVBand="1"/>
      </w:tblPr>
      <w:tblGrid>
        <w:gridCol w:w="1872"/>
        <w:gridCol w:w="720"/>
        <w:gridCol w:w="731"/>
        <w:gridCol w:w="2098"/>
        <w:gridCol w:w="2852"/>
        <w:gridCol w:w="124"/>
        <w:gridCol w:w="112"/>
      </w:tblGrid>
      <w:tr w:rsidR="005B159A" w:rsidRPr="00190F7C" w14:paraId="3A58E96C" w14:textId="77777777" w:rsidTr="00FF28A5">
        <w:trPr>
          <w:trHeight w:val="290"/>
        </w:trPr>
        <w:tc>
          <w:tcPr>
            <w:tcW w:w="1872" w:type="dxa"/>
            <w:tcBorders>
              <w:top w:val="single" w:sz="4" w:space="0" w:color="auto"/>
              <w:left w:val="nil"/>
              <w:bottom w:val="single" w:sz="4" w:space="0" w:color="auto"/>
              <w:right w:val="nil"/>
            </w:tcBorders>
            <w:noWrap/>
            <w:vAlign w:val="bottom"/>
          </w:tcPr>
          <w:p w14:paraId="7E105DF9" w14:textId="77777777" w:rsidR="005B159A" w:rsidRPr="00CC6A02" w:rsidRDefault="005B159A" w:rsidP="00D338D8">
            <w:pPr>
              <w:jc w:val="both"/>
              <w:rPr>
                <w:b/>
                <w:bCs/>
                <w:sz w:val="19"/>
                <w:szCs w:val="19"/>
                <w:lang w:val="en-US"/>
              </w:rPr>
            </w:pPr>
            <w:r w:rsidRPr="00CC6A02">
              <w:rPr>
                <w:b/>
                <w:bCs/>
                <w:sz w:val="19"/>
                <w:szCs w:val="19"/>
                <w:lang w:val="en-US"/>
              </w:rPr>
              <w:t>Diagnostic Test</w:t>
            </w:r>
          </w:p>
        </w:tc>
        <w:tc>
          <w:tcPr>
            <w:tcW w:w="720" w:type="dxa"/>
            <w:tcBorders>
              <w:top w:val="single" w:sz="4" w:space="0" w:color="auto"/>
              <w:left w:val="nil"/>
              <w:bottom w:val="single" w:sz="4" w:space="0" w:color="auto"/>
              <w:right w:val="nil"/>
            </w:tcBorders>
            <w:noWrap/>
            <w:vAlign w:val="bottom"/>
          </w:tcPr>
          <w:p w14:paraId="54F22533" w14:textId="77777777" w:rsidR="005B159A" w:rsidRPr="00CC6A02" w:rsidRDefault="005B159A" w:rsidP="00D338D8">
            <w:pPr>
              <w:jc w:val="both"/>
              <w:rPr>
                <w:sz w:val="19"/>
                <w:szCs w:val="19"/>
                <w:lang w:val="en-US"/>
              </w:rPr>
            </w:pPr>
          </w:p>
        </w:tc>
        <w:tc>
          <w:tcPr>
            <w:tcW w:w="731" w:type="dxa"/>
            <w:tcBorders>
              <w:top w:val="single" w:sz="4" w:space="0" w:color="auto"/>
              <w:left w:val="nil"/>
              <w:bottom w:val="single" w:sz="4" w:space="0" w:color="auto"/>
              <w:right w:val="nil"/>
            </w:tcBorders>
            <w:noWrap/>
            <w:vAlign w:val="bottom"/>
          </w:tcPr>
          <w:p w14:paraId="6889E639" w14:textId="77777777" w:rsidR="005B159A" w:rsidRPr="00CC6A02" w:rsidRDefault="005B159A" w:rsidP="00D338D8">
            <w:pPr>
              <w:jc w:val="both"/>
              <w:rPr>
                <w:sz w:val="19"/>
                <w:szCs w:val="19"/>
                <w:lang w:val="en-US"/>
              </w:rPr>
            </w:pPr>
          </w:p>
        </w:tc>
        <w:tc>
          <w:tcPr>
            <w:tcW w:w="2098" w:type="dxa"/>
            <w:tcBorders>
              <w:top w:val="single" w:sz="4" w:space="0" w:color="auto"/>
              <w:left w:val="nil"/>
              <w:bottom w:val="single" w:sz="4" w:space="0" w:color="auto"/>
              <w:right w:val="nil"/>
            </w:tcBorders>
            <w:noWrap/>
            <w:vAlign w:val="bottom"/>
          </w:tcPr>
          <w:p w14:paraId="0D520A9A" w14:textId="77777777" w:rsidR="005B159A" w:rsidRPr="00CC6A02" w:rsidRDefault="005B159A" w:rsidP="00D338D8">
            <w:pPr>
              <w:jc w:val="both"/>
              <w:rPr>
                <w:sz w:val="19"/>
                <w:szCs w:val="19"/>
                <w:lang w:val="en-US"/>
              </w:rPr>
            </w:pPr>
          </w:p>
        </w:tc>
        <w:tc>
          <w:tcPr>
            <w:tcW w:w="2852" w:type="dxa"/>
            <w:tcBorders>
              <w:top w:val="single" w:sz="4" w:space="0" w:color="auto"/>
              <w:left w:val="nil"/>
              <w:bottom w:val="single" w:sz="4" w:space="0" w:color="auto"/>
              <w:right w:val="nil"/>
            </w:tcBorders>
            <w:noWrap/>
            <w:vAlign w:val="bottom"/>
          </w:tcPr>
          <w:p w14:paraId="1F6D6D05" w14:textId="77777777" w:rsidR="005B159A" w:rsidRPr="00CC6A02" w:rsidRDefault="005B159A" w:rsidP="00D338D8">
            <w:pPr>
              <w:jc w:val="both"/>
              <w:rPr>
                <w:sz w:val="19"/>
                <w:szCs w:val="19"/>
                <w:lang w:val="en-US"/>
              </w:rPr>
            </w:pPr>
          </w:p>
        </w:tc>
        <w:tc>
          <w:tcPr>
            <w:tcW w:w="236" w:type="dxa"/>
            <w:gridSpan w:val="2"/>
            <w:tcBorders>
              <w:top w:val="single" w:sz="4" w:space="0" w:color="auto"/>
              <w:left w:val="nil"/>
              <w:bottom w:val="single" w:sz="4" w:space="0" w:color="auto"/>
              <w:right w:val="nil"/>
            </w:tcBorders>
            <w:noWrap/>
            <w:vAlign w:val="bottom"/>
          </w:tcPr>
          <w:p w14:paraId="43FC1FB3" w14:textId="77777777" w:rsidR="005B159A" w:rsidRPr="00190F7C" w:rsidRDefault="005B159A" w:rsidP="00D338D8">
            <w:pPr>
              <w:jc w:val="both"/>
              <w:rPr>
                <w:lang w:val="en-US"/>
              </w:rPr>
            </w:pPr>
          </w:p>
        </w:tc>
      </w:tr>
      <w:tr w:rsidR="005B159A" w:rsidRPr="00190F7C" w14:paraId="34A8FD9E" w14:textId="77777777" w:rsidTr="00FF28A5">
        <w:trPr>
          <w:gridAfter w:val="1"/>
          <w:wAfter w:w="112" w:type="dxa"/>
          <w:trHeight w:val="290"/>
        </w:trPr>
        <w:tc>
          <w:tcPr>
            <w:tcW w:w="2592" w:type="dxa"/>
            <w:gridSpan w:val="2"/>
            <w:tcBorders>
              <w:top w:val="single" w:sz="4" w:space="0" w:color="auto"/>
              <w:left w:val="nil"/>
              <w:bottom w:val="nil"/>
              <w:right w:val="nil"/>
            </w:tcBorders>
            <w:noWrap/>
            <w:vAlign w:val="bottom"/>
          </w:tcPr>
          <w:p w14:paraId="7FFFB470" w14:textId="77777777" w:rsidR="005B159A" w:rsidRPr="00CC6A02" w:rsidRDefault="005B159A" w:rsidP="00D338D8">
            <w:pPr>
              <w:jc w:val="both"/>
              <w:rPr>
                <w:sz w:val="19"/>
                <w:szCs w:val="19"/>
                <w:lang w:val="en-US"/>
              </w:rPr>
            </w:pPr>
            <w:r w:rsidRPr="00CC6A02">
              <w:rPr>
                <w:sz w:val="19"/>
                <w:szCs w:val="19"/>
                <w:lang w:val="en-US"/>
              </w:rPr>
              <w:t>Heteroscedasticity</w:t>
            </w:r>
          </w:p>
        </w:tc>
        <w:tc>
          <w:tcPr>
            <w:tcW w:w="731" w:type="dxa"/>
            <w:tcBorders>
              <w:top w:val="single" w:sz="4" w:space="0" w:color="auto"/>
              <w:left w:val="nil"/>
              <w:bottom w:val="nil"/>
              <w:right w:val="nil"/>
            </w:tcBorders>
            <w:noWrap/>
            <w:vAlign w:val="bottom"/>
          </w:tcPr>
          <w:p w14:paraId="0FBA3596" w14:textId="77777777" w:rsidR="005B159A" w:rsidRPr="00CC6A02" w:rsidRDefault="005B159A" w:rsidP="00D338D8">
            <w:pPr>
              <w:jc w:val="both"/>
              <w:rPr>
                <w:sz w:val="19"/>
                <w:szCs w:val="19"/>
                <w:lang w:val="en-US"/>
              </w:rPr>
            </w:pPr>
          </w:p>
        </w:tc>
        <w:tc>
          <w:tcPr>
            <w:tcW w:w="2098" w:type="dxa"/>
            <w:tcBorders>
              <w:top w:val="single" w:sz="4" w:space="0" w:color="auto"/>
              <w:left w:val="nil"/>
              <w:bottom w:val="nil"/>
              <w:right w:val="nil"/>
            </w:tcBorders>
            <w:noWrap/>
            <w:vAlign w:val="bottom"/>
          </w:tcPr>
          <w:p w14:paraId="75A66992" w14:textId="77777777" w:rsidR="005B159A" w:rsidRPr="00CC6A02" w:rsidRDefault="005B159A" w:rsidP="00D338D8">
            <w:pPr>
              <w:jc w:val="center"/>
              <w:rPr>
                <w:sz w:val="19"/>
                <w:szCs w:val="19"/>
                <w:lang w:val="en-US"/>
              </w:rPr>
            </w:pPr>
            <w:r w:rsidRPr="00CC6A02">
              <w:rPr>
                <w:sz w:val="19"/>
                <w:szCs w:val="19"/>
                <w:lang w:val="en-US"/>
              </w:rPr>
              <w:t>Chi2(1)</w:t>
            </w:r>
          </w:p>
        </w:tc>
        <w:tc>
          <w:tcPr>
            <w:tcW w:w="2976" w:type="dxa"/>
            <w:gridSpan w:val="2"/>
            <w:tcBorders>
              <w:top w:val="single" w:sz="4" w:space="0" w:color="auto"/>
              <w:left w:val="nil"/>
              <w:bottom w:val="nil"/>
              <w:right w:val="nil"/>
            </w:tcBorders>
            <w:noWrap/>
            <w:vAlign w:val="bottom"/>
          </w:tcPr>
          <w:p w14:paraId="0C2CFB15" w14:textId="77777777" w:rsidR="005B159A" w:rsidRPr="00CC6A02" w:rsidRDefault="005B159A" w:rsidP="00D338D8">
            <w:pPr>
              <w:jc w:val="center"/>
              <w:rPr>
                <w:sz w:val="19"/>
                <w:szCs w:val="19"/>
                <w:lang w:val="en-US"/>
              </w:rPr>
            </w:pPr>
            <w:r w:rsidRPr="00CC6A02">
              <w:rPr>
                <w:sz w:val="19"/>
                <w:szCs w:val="19"/>
                <w:lang w:val="en-US"/>
              </w:rPr>
              <w:t>Prob&gt;Chi2</w:t>
            </w:r>
          </w:p>
        </w:tc>
      </w:tr>
      <w:tr w:rsidR="005B159A" w:rsidRPr="00190F7C" w14:paraId="293B9B63" w14:textId="77777777" w:rsidTr="00FF28A5">
        <w:trPr>
          <w:trHeight w:val="290"/>
        </w:trPr>
        <w:tc>
          <w:tcPr>
            <w:tcW w:w="1872" w:type="dxa"/>
            <w:tcBorders>
              <w:top w:val="nil"/>
              <w:left w:val="nil"/>
              <w:bottom w:val="nil"/>
              <w:right w:val="nil"/>
            </w:tcBorders>
            <w:noWrap/>
            <w:vAlign w:val="bottom"/>
          </w:tcPr>
          <w:p w14:paraId="52165796" w14:textId="77777777" w:rsidR="005B159A" w:rsidRPr="00CC6A02" w:rsidRDefault="005B159A" w:rsidP="00D338D8">
            <w:pPr>
              <w:jc w:val="both"/>
              <w:rPr>
                <w:sz w:val="19"/>
                <w:szCs w:val="19"/>
                <w:lang w:val="en-US"/>
              </w:rPr>
            </w:pPr>
          </w:p>
        </w:tc>
        <w:tc>
          <w:tcPr>
            <w:tcW w:w="720" w:type="dxa"/>
            <w:tcBorders>
              <w:top w:val="nil"/>
              <w:left w:val="nil"/>
              <w:bottom w:val="nil"/>
              <w:right w:val="nil"/>
            </w:tcBorders>
            <w:noWrap/>
            <w:vAlign w:val="bottom"/>
          </w:tcPr>
          <w:p w14:paraId="3E2AF061" w14:textId="77777777" w:rsidR="005B159A" w:rsidRPr="00CC6A02" w:rsidRDefault="005B159A" w:rsidP="00D338D8">
            <w:pPr>
              <w:jc w:val="both"/>
              <w:rPr>
                <w:sz w:val="19"/>
                <w:szCs w:val="19"/>
                <w:lang w:val="en-US"/>
              </w:rPr>
            </w:pPr>
          </w:p>
        </w:tc>
        <w:tc>
          <w:tcPr>
            <w:tcW w:w="731" w:type="dxa"/>
            <w:tcBorders>
              <w:top w:val="nil"/>
              <w:left w:val="nil"/>
              <w:bottom w:val="nil"/>
              <w:right w:val="nil"/>
            </w:tcBorders>
            <w:noWrap/>
            <w:vAlign w:val="bottom"/>
          </w:tcPr>
          <w:p w14:paraId="10549FBE" w14:textId="77777777" w:rsidR="005B159A" w:rsidRPr="00CC6A02" w:rsidRDefault="005B159A" w:rsidP="00D338D8">
            <w:pPr>
              <w:jc w:val="both"/>
              <w:rPr>
                <w:sz w:val="19"/>
                <w:szCs w:val="19"/>
                <w:lang w:val="en-US"/>
              </w:rPr>
            </w:pPr>
          </w:p>
        </w:tc>
        <w:tc>
          <w:tcPr>
            <w:tcW w:w="2098" w:type="dxa"/>
            <w:tcBorders>
              <w:top w:val="nil"/>
              <w:left w:val="nil"/>
              <w:bottom w:val="nil"/>
              <w:right w:val="nil"/>
            </w:tcBorders>
            <w:noWrap/>
            <w:vAlign w:val="bottom"/>
          </w:tcPr>
          <w:p w14:paraId="19810216" w14:textId="77777777" w:rsidR="005B159A" w:rsidRPr="00CC6A02" w:rsidRDefault="005B159A" w:rsidP="00D338D8">
            <w:pPr>
              <w:jc w:val="center"/>
              <w:rPr>
                <w:sz w:val="19"/>
                <w:szCs w:val="19"/>
                <w:lang w:val="en-US"/>
              </w:rPr>
            </w:pPr>
            <w:r w:rsidRPr="00CC6A02">
              <w:rPr>
                <w:sz w:val="19"/>
                <w:szCs w:val="19"/>
                <w:lang w:val="en-US"/>
              </w:rPr>
              <w:t>1.18</w:t>
            </w:r>
          </w:p>
        </w:tc>
        <w:tc>
          <w:tcPr>
            <w:tcW w:w="2852" w:type="dxa"/>
            <w:tcBorders>
              <w:top w:val="nil"/>
              <w:left w:val="nil"/>
              <w:bottom w:val="nil"/>
              <w:right w:val="nil"/>
            </w:tcBorders>
            <w:noWrap/>
            <w:vAlign w:val="bottom"/>
          </w:tcPr>
          <w:p w14:paraId="0539B31A" w14:textId="77777777" w:rsidR="005B159A" w:rsidRPr="00CC6A02" w:rsidRDefault="005B159A" w:rsidP="00D338D8">
            <w:pPr>
              <w:jc w:val="center"/>
              <w:rPr>
                <w:sz w:val="19"/>
                <w:szCs w:val="19"/>
                <w:lang w:val="en-US"/>
              </w:rPr>
            </w:pPr>
            <w:r w:rsidRPr="00CC6A02">
              <w:rPr>
                <w:sz w:val="19"/>
                <w:szCs w:val="19"/>
                <w:lang w:val="en-US"/>
              </w:rPr>
              <w:t>0.0072</w:t>
            </w:r>
          </w:p>
        </w:tc>
        <w:tc>
          <w:tcPr>
            <w:tcW w:w="236" w:type="dxa"/>
            <w:gridSpan w:val="2"/>
            <w:tcBorders>
              <w:top w:val="nil"/>
              <w:left w:val="nil"/>
              <w:bottom w:val="nil"/>
              <w:right w:val="nil"/>
            </w:tcBorders>
            <w:noWrap/>
            <w:vAlign w:val="bottom"/>
          </w:tcPr>
          <w:p w14:paraId="1198AD43" w14:textId="77777777" w:rsidR="005B159A" w:rsidRPr="00190F7C" w:rsidRDefault="005B159A" w:rsidP="00D338D8">
            <w:pPr>
              <w:jc w:val="both"/>
              <w:rPr>
                <w:lang w:val="en-US"/>
              </w:rPr>
            </w:pPr>
          </w:p>
        </w:tc>
      </w:tr>
      <w:tr w:rsidR="005B159A" w:rsidRPr="00190F7C" w14:paraId="5E4DFC7B" w14:textId="77777777" w:rsidTr="00FF28A5">
        <w:trPr>
          <w:trHeight w:val="300"/>
        </w:trPr>
        <w:tc>
          <w:tcPr>
            <w:tcW w:w="2592" w:type="dxa"/>
            <w:gridSpan w:val="2"/>
            <w:tcBorders>
              <w:top w:val="nil"/>
              <w:left w:val="nil"/>
              <w:bottom w:val="nil"/>
              <w:right w:val="nil"/>
            </w:tcBorders>
            <w:noWrap/>
            <w:vAlign w:val="bottom"/>
          </w:tcPr>
          <w:p w14:paraId="6EC4F9B5" w14:textId="77777777" w:rsidR="005B159A" w:rsidRPr="00CC6A02" w:rsidRDefault="005B159A" w:rsidP="00D338D8">
            <w:pPr>
              <w:jc w:val="both"/>
              <w:rPr>
                <w:sz w:val="19"/>
                <w:szCs w:val="19"/>
                <w:lang w:val="en-US"/>
              </w:rPr>
            </w:pPr>
            <w:r w:rsidRPr="00CC6A02">
              <w:rPr>
                <w:sz w:val="19"/>
                <w:szCs w:val="19"/>
                <w:lang w:val="en-US"/>
              </w:rPr>
              <w:t>Autocorrelation</w:t>
            </w:r>
          </w:p>
        </w:tc>
        <w:tc>
          <w:tcPr>
            <w:tcW w:w="731" w:type="dxa"/>
            <w:tcBorders>
              <w:top w:val="nil"/>
              <w:left w:val="nil"/>
              <w:bottom w:val="nil"/>
              <w:right w:val="nil"/>
            </w:tcBorders>
            <w:noWrap/>
            <w:vAlign w:val="bottom"/>
          </w:tcPr>
          <w:p w14:paraId="15AC7F4E" w14:textId="77777777" w:rsidR="005B159A" w:rsidRPr="00CC6A02" w:rsidRDefault="005B159A" w:rsidP="00D338D8">
            <w:pPr>
              <w:jc w:val="both"/>
              <w:rPr>
                <w:sz w:val="19"/>
                <w:szCs w:val="19"/>
                <w:lang w:val="en-US"/>
              </w:rPr>
            </w:pPr>
          </w:p>
        </w:tc>
        <w:tc>
          <w:tcPr>
            <w:tcW w:w="2098" w:type="dxa"/>
            <w:tcBorders>
              <w:top w:val="nil"/>
              <w:left w:val="nil"/>
              <w:bottom w:val="nil"/>
              <w:right w:val="nil"/>
            </w:tcBorders>
            <w:noWrap/>
            <w:vAlign w:val="bottom"/>
          </w:tcPr>
          <w:p w14:paraId="159C9234" w14:textId="77777777" w:rsidR="005B159A" w:rsidRPr="00CC6A02" w:rsidRDefault="005B159A" w:rsidP="00D338D8">
            <w:pPr>
              <w:jc w:val="center"/>
              <w:rPr>
                <w:sz w:val="19"/>
                <w:szCs w:val="19"/>
                <w:lang w:val="en-US"/>
              </w:rPr>
            </w:pPr>
            <w:proofErr w:type="gramStart"/>
            <w:r w:rsidRPr="00CC6A02">
              <w:rPr>
                <w:sz w:val="19"/>
                <w:szCs w:val="19"/>
                <w:lang w:val="en-US"/>
              </w:rPr>
              <w:t>F(</w:t>
            </w:r>
            <w:proofErr w:type="gramEnd"/>
            <w:r w:rsidRPr="00CC6A02">
              <w:rPr>
                <w:sz w:val="19"/>
                <w:szCs w:val="19"/>
                <w:lang w:val="en-US"/>
              </w:rPr>
              <w:t>1, 49)</w:t>
            </w:r>
          </w:p>
        </w:tc>
        <w:tc>
          <w:tcPr>
            <w:tcW w:w="2852" w:type="dxa"/>
            <w:tcBorders>
              <w:top w:val="nil"/>
              <w:left w:val="nil"/>
              <w:bottom w:val="nil"/>
              <w:right w:val="nil"/>
            </w:tcBorders>
            <w:noWrap/>
            <w:vAlign w:val="bottom"/>
          </w:tcPr>
          <w:p w14:paraId="32A19794" w14:textId="77777777" w:rsidR="005B159A" w:rsidRPr="00CC6A02" w:rsidRDefault="005B159A" w:rsidP="00D338D8">
            <w:pPr>
              <w:jc w:val="center"/>
              <w:rPr>
                <w:sz w:val="19"/>
                <w:szCs w:val="19"/>
                <w:lang w:val="en-US"/>
              </w:rPr>
            </w:pPr>
            <w:r w:rsidRPr="00CC6A02">
              <w:rPr>
                <w:sz w:val="19"/>
                <w:szCs w:val="19"/>
                <w:lang w:val="en-US"/>
              </w:rPr>
              <w:t>Prob&gt;F</w:t>
            </w:r>
          </w:p>
        </w:tc>
        <w:tc>
          <w:tcPr>
            <w:tcW w:w="236" w:type="dxa"/>
            <w:gridSpan w:val="2"/>
            <w:tcBorders>
              <w:top w:val="nil"/>
              <w:left w:val="nil"/>
              <w:bottom w:val="nil"/>
              <w:right w:val="nil"/>
            </w:tcBorders>
            <w:noWrap/>
            <w:vAlign w:val="bottom"/>
          </w:tcPr>
          <w:p w14:paraId="7C40D590" w14:textId="77777777" w:rsidR="005B159A" w:rsidRPr="00190F7C" w:rsidRDefault="005B159A" w:rsidP="00D338D8">
            <w:pPr>
              <w:jc w:val="both"/>
              <w:rPr>
                <w:lang w:val="en-US"/>
              </w:rPr>
            </w:pPr>
          </w:p>
        </w:tc>
      </w:tr>
      <w:tr w:rsidR="005B159A" w:rsidRPr="00190F7C" w14:paraId="5D0C8DD2" w14:textId="77777777" w:rsidTr="00FF28A5">
        <w:trPr>
          <w:trHeight w:val="290"/>
        </w:trPr>
        <w:tc>
          <w:tcPr>
            <w:tcW w:w="1872" w:type="dxa"/>
            <w:tcBorders>
              <w:top w:val="nil"/>
              <w:left w:val="nil"/>
              <w:bottom w:val="nil"/>
              <w:right w:val="nil"/>
            </w:tcBorders>
            <w:noWrap/>
            <w:vAlign w:val="bottom"/>
          </w:tcPr>
          <w:p w14:paraId="70DBEE98" w14:textId="77777777" w:rsidR="005B159A" w:rsidRPr="00CC6A02" w:rsidRDefault="005B159A" w:rsidP="00D338D8">
            <w:pPr>
              <w:jc w:val="both"/>
              <w:rPr>
                <w:sz w:val="19"/>
                <w:szCs w:val="19"/>
                <w:lang w:val="en-US"/>
              </w:rPr>
            </w:pPr>
          </w:p>
        </w:tc>
        <w:tc>
          <w:tcPr>
            <w:tcW w:w="720" w:type="dxa"/>
            <w:tcBorders>
              <w:top w:val="nil"/>
              <w:left w:val="nil"/>
              <w:bottom w:val="nil"/>
              <w:right w:val="nil"/>
            </w:tcBorders>
            <w:noWrap/>
            <w:vAlign w:val="bottom"/>
          </w:tcPr>
          <w:p w14:paraId="405D3D59" w14:textId="77777777" w:rsidR="005B159A" w:rsidRPr="00CC6A02" w:rsidRDefault="005B159A" w:rsidP="00D338D8">
            <w:pPr>
              <w:jc w:val="both"/>
              <w:rPr>
                <w:sz w:val="19"/>
                <w:szCs w:val="19"/>
                <w:lang w:val="en-US"/>
              </w:rPr>
            </w:pPr>
          </w:p>
        </w:tc>
        <w:tc>
          <w:tcPr>
            <w:tcW w:w="731" w:type="dxa"/>
            <w:tcBorders>
              <w:top w:val="nil"/>
              <w:left w:val="nil"/>
              <w:bottom w:val="nil"/>
              <w:right w:val="nil"/>
            </w:tcBorders>
            <w:noWrap/>
            <w:vAlign w:val="bottom"/>
          </w:tcPr>
          <w:p w14:paraId="54074A2F" w14:textId="77777777" w:rsidR="005B159A" w:rsidRPr="00CC6A02" w:rsidRDefault="005B159A" w:rsidP="00D338D8">
            <w:pPr>
              <w:jc w:val="both"/>
              <w:rPr>
                <w:sz w:val="19"/>
                <w:szCs w:val="19"/>
                <w:lang w:val="en-US"/>
              </w:rPr>
            </w:pPr>
          </w:p>
        </w:tc>
        <w:tc>
          <w:tcPr>
            <w:tcW w:w="2098" w:type="dxa"/>
            <w:tcBorders>
              <w:top w:val="nil"/>
              <w:left w:val="nil"/>
              <w:bottom w:val="nil"/>
              <w:right w:val="nil"/>
            </w:tcBorders>
            <w:noWrap/>
            <w:vAlign w:val="bottom"/>
          </w:tcPr>
          <w:p w14:paraId="36B5D886" w14:textId="77777777" w:rsidR="005B159A" w:rsidRPr="00CC6A02" w:rsidRDefault="005B159A" w:rsidP="00D338D8">
            <w:pPr>
              <w:jc w:val="center"/>
              <w:rPr>
                <w:sz w:val="19"/>
                <w:szCs w:val="19"/>
                <w:lang w:val="en-US"/>
              </w:rPr>
            </w:pPr>
            <w:r w:rsidRPr="00CC6A02">
              <w:rPr>
                <w:sz w:val="19"/>
                <w:szCs w:val="19"/>
                <w:lang w:val="en-US"/>
              </w:rPr>
              <w:t>23.742</w:t>
            </w:r>
          </w:p>
        </w:tc>
        <w:tc>
          <w:tcPr>
            <w:tcW w:w="2852" w:type="dxa"/>
            <w:tcBorders>
              <w:top w:val="nil"/>
              <w:left w:val="nil"/>
              <w:bottom w:val="nil"/>
              <w:right w:val="nil"/>
            </w:tcBorders>
            <w:noWrap/>
            <w:vAlign w:val="bottom"/>
          </w:tcPr>
          <w:p w14:paraId="79405249" w14:textId="77777777" w:rsidR="005B159A" w:rsidRPr="00CC6A02" w:rsidRDefault="005B159A" w:rsidP="00D338D8">
            <w:pPr>
              <w:jc w:val="center"/>
              <w:rPr>
                <w:sz w:val="19"/>
                <w:szCs w:val="19"/>
                <w:lang w:val="en-US"/>
              </w:rPr>
            </w:pPr>
            <w:r w:rsidRPr="00CC6A02">
              <w:rPr>
                <w:sz w:val="19"/>
                <w:szCs w:val="19"/>
                <w:lang w:val="en-US"/>
              </w:rPr>
              <w:t>0.0000</w:t>
            </w:r>
          </w:p>
        </w:tc>
        <w:tc>
          <w:tcPr>
            <w:tcW w:w="236" w:type="dxa"/>
            <w:gridSpan w:val="2"/>
            <w:tcBorders>
              <w:top w:val="nil"/>
              <w:left w:val="nil"/>
              <w:bottom w:val="nil"/>
              <w:right w:val="nil"/>
            </w:tcBorders>
            <w:noWrap/>
            <w:vAlign w:val="bottom"/>
          </w:tcPr>
          <w:p w14:paraId="33A1B0E8" w14:textId="77777777" w:rsidR="005B159A" w:rsidRPr="00190F7C" w:rsidRDefault="005B159A" w:rsidP="00D338D8">
            <w:pPr>
              <w:jc w:val="both"/>
              <w:rPr>
                <w:lang w:val="en-US"/>
              </w:rPr>
            </w:pPr>
          </w:p>
        </w:tc>
      </w:tr>
      <w:tr w:rsidR="005B159A" w:rsidRPr="00190F7C" w14:paraId="10D34015" w14:textId="77777777" w:rsidTr="00FF28A5">
        <w:trPr>
          <w:trHeight w:val="290"/>
        </w:trPr>
        <w:tc>
          <w:tcPr>
            <w:tcW w:w="3323" w:type="dxa"/>
            <w:gridSpan w:val="3"/>
            <w:tcBorders>
              <w:top w:val="nil"/>
              <w:left w:val="nil"/>
              <w:right w:val="nil"/>
            </w:tcBorders>
            <w:noWrap/>
            <w:vAlign w:val="bottom"/>
          </w:tcPr>
          <w:p w14:paraId="45A98D73" w14:textId="77777777" w:rsidR="005B159A" w:rsidRPr="00CC6A02" w:rsidRDefault="005B159A" w:rsidP="00D338D8">
            <w:pPr>
              <w:jc w:val="both"/>
              <w:rPr>
                <w:sz w:val="19"/>
                <w:szCs w:val="19"/>
                <w:lang w:val="en-US"/>
              </w:rPr>
            </w:pPr>
            <w:proofErr w:type="spellStart"/>
            <w:r w:rsidRPr="00CC6A02">
              <w:rPr>
                <w:sz w:val="19"/>
                <w:szCs w:val="19"/>
                <w:lang w:val="en-US"/>
              </w:rPr>
              <w:t>Pesaran</w:t>
            </w:r>
            <w:proofErr w:type="spellEnd"/>
            <w:r w:rsidRPr="00CC6A02">
              <w:rPr>
                <w:sz w:val="19"/>
                <w:szCs w:val="19"/>
                <w:lang w:val="en-US"/>
              </w:rPr>
              <w:t xml:space="preserve"> CD Test</w:t>
            </w:r>
          </w:p>
        </w:tc>
        <w:tc>
          <w:tcPr>
            <w:tcW w:w="2098" w:type="dxa"/>
            <w:tcBorders>
              <w:top w:val="nil"/>
              <w:left w:val="nil"/>
              <w:right w:val="nil"/>
            </w:tcBorders>
            <w:noWrap/>
            <w:vAlign w:val="bottom"/>
          </w:tcPr>
          <w:p w14:paraId="14A45EA7" w14:textId="77777777" w:rsidR="005B159A" w:rsidRPr="00CC6A02" w:rsidRDefault="005B159A" w:rsidP="00D338D8">
            <w:pPr>
              <w:jc w:val="center"/>
              <w:rPr>
                <w:sz w:val="19"/>
                <w:szCs w:val="19"/>
                <w:lang w:val="en-US"/>
              </w:rPr>
            </w:pPr>
            <w:proofErr w:type="spellStart"/>
            <w:r w:rsidRPr="00CC6A02">
              <w:rPr>
                <w:sz w:val="19"/>
                <w:szCs w:val="19"/>
                <w:lang w:val="en-US"/>
              </w:rPr>
              <w:t>Pesaran’s</w:t>
            </w:r>
            <w:proofErr w:type="spellEnd"/>
            <w:r w:rsidRPr="00CC6A02">
              <w:rPr>
                <w:sz w:val="19"/>
                <w:szCs w:val="19"/>
                <w:lang w:val="en-US"/>
              </w:rPr>
              <w:t xml:space="preserve"> CD</w:t>
            </w:r>
          </w:p>
        </w:tc>
        <w:tc>
          <w:tcPr>
            <w:tcW w:w="2852" w:type="dxa"/>
            <w:tcBorders>
              <w:top w:val="nil"/>
              <w:left w:val="nil"/>
              <w:right w:val="nil"/>
            </w:tcBorders>
            <w:noWrap/>
            <w:vAlign w:val="bottom"/>
          </w:tcPr>
          <w:p w14:paraId="00CFF966" w14:textId="77777777" w:rsidR="005B159A" w:rsidRPr="00CC6A02" w:rsidRDefault="005B159A" w:rsidP="00D338D8">
            <w:pPr>
              <w:jc w:val="center"/>
              <w:rPr>
                <w:sz w:val="19"/>
                <w:szCs w:val="19"/>
                <w:lang w:val="en-US"/>
              </w:rPr>
            </w:pPr>
            <w:r w:rsidRPr="00CC6A02">
              <w:rPr>
                <w:sz w:val="19"/>
                <w:szCs w:val="19"/>
                <w:lang w:val="en-US"/>
              </w:rPr>
              <w:t>ABS</w:t>
            </w:r>
          </w:p>
        </w:tc>
        <w:tc>
          <w:tcPr>
            <w:tcW w:w="236" w:type="dxa"/>
            <w:gridSpan w:val="2"/>
            <w:tcBorders>
              <w:top w:val="nil"/>
              <w:left w:val="nil"/>
              <w:right w:val="nil"/>
            </w:tcBorders>
            <w:noWrap/>
            <w:vAlign w:val="bottom"/>
          </w:tcPr>
          <w:p w14:paraId="459F7188" w14:textId="77777777" w:rsidR="005B159A" w:rsidRPr="00190F7C" w:rsidRDefault="005B159A" w:rsidP="00D338D8">
            <w:pPr>
              <w:jc w:val="both"/>
              <w:rPr>
                <w:lang w:val="en-US"/>
              </w:rPr>
            </w:pPr>
          </w:p>
        </w:tc>
      </w:tr>
      <w:tr w:rsidR="005B159A" w:rsidRPr="00190F7C" w14:paraId="3ECAC296" w14:textId="77777777" w:rsidTr="00FF28A5">
        <w:trPr>
          <w:trHeight w:val="290"/>
        </w:trPr>
        <w:tc>
          <w:tcPr>
            <w:tcW w:w="1872" w:type="dxa"/>
            <w:tcBorders>
              <w:top w:val="nil"/>
              <w:left w:val="nil"/>
              <w:bottom w:val="single" w:sz="4" w:space="0" w:color="auto"/>
              <w:right w:val="nil"/>
            </w:tcBorders>
            <w:noWrap/>
            <w:vAlign w:val="bottom"/>
          </w:tcPr>
          <w:p w14:paraId="134E241F" w14:textId="77777777" w:rsidR="005B159A" w:rsidRPr="00CC6A02" w:rsidRDefault="005B159A" w:rsidP="00D338D8">
            <w:pPr>
              <w:jc w:val="both"/>
              <w:rPr>
                <w:sz w:val="19"/>
                <w:szCs w:val="19"/>
                <w:lang w:val="en-US"/>
              </w:rPr>
            </w:pPr>
          </w:p>
        </w:tc>
        <w:tc>
          <w:tcPr>
            <w:tcW w:w="720" w:type="dxa"/>
            <w:tcBorders>
              <w:top w:val="nil"/>
              <w:left w:val="nil"/>
              <w:bottom w:val="single" w:sz="4" w:space="0" w:color="auto"/>
              <w:right w:val="nil"/>
            </w:tcBorders>
            <w:noWrap/>
            <w:vAlign w:val="bottom"/>
          </w:tcPr>
          <w:p w14:paraId="37CC7F78" w14:textId="77777777" w:rsidR="005B159A" w:rsidRPr="00CC6A02" w:rsidRDefault="005B159A" w:rsidP="00D338D8">
            <w:pPr>
              <w:jc w:val="both"/>
              <w:rPr>
                <w:sz w:val="19"/>
                <w:szCs w:val="19"/>
                <w:lang w:val="en-US"/>
              </w:rPr>
            </w:pPr>
          </w:p>
        </w:tc>
        <w:tc>
          <w:tcPr>
            <w:tcW w:w="731" w:type="dxa"/>
            <w:tcBorders>
              <w:top w:val="nil"/>
              <w:left w:val="nil"/>
              <w:bottom w:val="single" w:sz="4" w:space="0" w:color="auto"/>
              <w:right w:val="nil"/>
            </w:tcBorders>
            <w:noWrap/>
            <w:vAlign w:val="bottom"/>
          </w:tcPr>
          <w:p w14:paraId="3B430000" w14:textId="77777777" w:rsidR="005B159A" w:rsidRPr="00CC6A02" w:rsidRDefault="005B159A" w:rsidP="00D338D8">
            <w:pPr>
              <w:jc w:val="both"/>
              <w:rPr>
                <w:sz w:val="19"/>
                <w:szCs w:val="19"/>
                <w:lang w:val="en-US"/>
              </w:rPr>
            </w:pPr>
          </w:p>
        </w:tc>
        <w:tc>
          <w:tcPr>
            <w:tcW w:w="2098" w:type="dxa"/>
            <w:tcBorders>
              <w:top w:val="nil"/>
              <w:left w:val="nil"/>
              <w:bottom w:val="single" w:sz="4" w:space="0" w:color="auto"/>
              <w:right w:val="nil"/>
            </w:tcBorders>
            <w:noWrap/>
            <w:vAlign w:val="bottom"/>
          </w:tcPr>
          <w:p w14:paraId="1463DEF0" w14:textId="77777777" w:rsidR="005B159A" w:rsidRPr="00CC6A02" w:rsidRDefault="005B159A" w:rsidP="00D338D8">
            <w:pPr>
              <w:jc w:val="center"/>
              <w:rPr>
                <w:sz w:val="19"/>
                <w:szCs w:val="19"/>
                <w:lang w:val="en-US"/>
              </w:rPr>
            </w:pPr>
            <w:r w:rsidRPr="00CC6A02">
              <w:rPr>
                <w:sz w:val="19"/>
                <w:szCs w:val="19"/>
                <w:lang w:val="en-US"/>
              </w:rPr>
              <w:t xml:space="preserve">0.940, </w:t>
            </w:r>
            <w:proofErr w:type="spellStart"/>
            <w:r w:rsidRPr="00CC6A02">
              <w:rPr>
                <w:sz w:val="19"/>
                <w:szCs w:val="19"/>
                <w:lang w:val="en-US"/>
              </w:rPr>
              <w:t>Pr</w:t>
            </w:r>
            <w:proofErr w:type="spellEnd"/>
            <w:r w:rsidRPr="00CC6A02">
              <w:rPr>
                <w:sz w:val="19"/>
                <w:szCs w:val="19"/>
                <w:lang w:val="en-US"/>
              </w:rPr>
              <w:t xml:space="preserve"> = 0.3472</w:t>
            </w:r>
          </w:p>
        </w:tc>
        <w:tc>
          <w:tcPr>
            <w:tcW w:w="2852" w:type="dxa"/>
            <w:tcBorders>
              <w:top w:val="nil"/>
              <w:left w:val="nil"/>
              <w:bottom w:val="single" w:sz="4" w:space="0" w:color="auto"/>
              <w:right w:val="nil"/>
            </w:tcBorders>
            <w:noWrap/>
            <w:vAlign w:val="bottom"/>
          </w:tcPr>
          <w:p w14:paraId="566C55FB" w14:textId="77777777" w:rsidR="005B159A" w:rsidRPr="00CC6A02" w:rsidRDefault="005B159A" w:rsidP="00D338D8">
            <w:pPr>
              <w:jc w:val="center"/>
              <w:rPr>
                <w:sz w:val="19"/>
                <w:szCs w:val="19"/>
                <w:lang w:val="en-US"/>
              </w:rPr>
            </w:pPr>
            <w:r w:rsidRPr="00CC6A02">
              <w:rPr>
                <w:sz w:val="19"/>
                <w:szCs w:val="19"/>
                <w:lang w:val="en-US"/>
              </w:rPr>
              <w:t>0.459</w:t>
            </w:r>
          </w:p>
        </w:tc>
        <w:tc>
          <w:tcPr>
            <w:tcW w:w="236" w:type="dxa"/>
            <w:gridSpan w:val="2"/>
            <w:tcBorders>
              <w:top w:val="nil"/>
              <w:left w:val="nil"/>
              <w:bottom w:val="single" w:sz="4" w:space="0" w:color="auto"/>
              <w:right w:val="nil"/>
            </w:tcBorders>
            <w:noWrap/>
            <w:vAlign w:val="bottom"/>
          </w:tcPr>
          <w:p w14:paraId="152B7240" w14:textId="77777777" w:rsidR="005B159A" w:rsidRPr="00190F7C" w:rsidRDefault="005B159A" w:rsidP="00D338D8">
            <w:pPr>
              <w:jc w:val="both"/>
              <w:rPr>
                <w:lang w:val="en-US"/>
              </w:rPr>
            </w:pPr>
          </w:p>
        </w:tc>
      </w:tr>
    </w:tbl>
    <w:p w14:paraId="0397DD52" w14:textId="77777777" w:rsidR="005B159A" w:rsidRPr="00190F7C" w:rsidRDefault="005B159A" w:rsidP="00D338D8">
      <w:pPr>
        <w:jc w:val="both"/>
        <w:rPr>
          <w:lang w:eastAsia="en-MY"/>
        </w:rPr>
      </w:pPr>
    </w:p>
    <w:p w14:paraId="730E02F1" w14:textId="5509F984" w:rsidR="00A0614A" w:rsidRDefault="00A0614A" w:rsidP="00FF28A5">
      <w:pPr>
        <w:ind w:firstLine="284"/>
        <w:jc w:val="both"/>
        <w:rPr>
          <w:lang w:eastAsia="en-MY"/>
        </w:rPr>
      </w:pPr>
      <w:r w:rsidRPr="00A0614A">
        <w:rPr>
          <w:lang w:eastAsia="en-MY"/>
        </w:rPr>
        <w:t>To select the optimal regression model for this study, several diagnostic tests were conducted in line with prior research (Musa &amp; Ibrahim, 2024) to ensure the validity of the regression estimates and avoid biased statistical inferences. The results of these diagnostic tests are presented in Table 4.</w:t>
      </w:r>
    </w:p>
    <w:p w14:paraId="558EEF8C" w14:textId="77777777" w:rsidR="00A0614A" w:rsidRDefault="00A0614A" w:rsidP="00FF28A5">
      <w:pPr>
        <w:ind w:firstLine="284"/>
        <w:jc w:val="both"/>
        <w:rPr>
          <w:lang w:eastAsia="en-MY"/>
        </w:rPr>
      </w:pPr>
    </w:p>
    <w:p w14:paraId="147B5357" w14:textId="6178D19B" w:rsidR="00FF28A5" w:rsidRDefault="005B159A" w:rsidP="00FF28A5">
      <w:pPr>
        <w:ind w:firstLine="284"/>
        <w:jc w:val="both"/>
      </w:pPr>
      <w:r w:rsidRPr="00190F7C">
        <w:rPr>
          <w:lang w:eastAsia="en-MY"/>
        </w:rPr>
        <w:t xml:space="preserve">The models were first subjected to the Breusch-Pagan/Cook-Weisberg Lagrange Multiplier Test, which verified the presence of heteroscedasticity (p-value = 0.000). Second, autocorrelation was tested using the Wooldridge test, and the results indicate that autocorrelation exists in the model (p-value = 0.000). Finally, a </w:t>
      </w:r>
      <w:proofErr w:type="spellStart"/>
      <w:r w:rsidRPr="00190F7C">
        <w:rPr>
          <w:lang w:eastAsia="en-MY"/>
        </w:rPr>
        <w:t>Pesaran</w:t>
      </w:r>
      <w:proofErr w:type="spellEnd"/>
      <w:r w:rsidRPr="00190F7C">
        <w:rPr>
          <w:lang w:eastAsia="en-MY"/>
        </w:rPr>
        <w:t xml:space="preserve"> test was performed, and the outcome (ABS = 0.459) validated the issue of cross-sectional dependence on the model. To solve the autocorrelation issue, this work used panel-corrected standard error (PCSE) regression, as recommended by Beck et al. (1995) and </w:t>
      </w:r>
      <w:proofErr w:type="spellStart"/>
      <w:r w:rsidRPr="00190F7C">
        <w:rPr>
          <w:lang w:eastAsia="en-MY"/>
        </w:rPr>
        <w:t>Moundigbaye</w:t>
      </w:r>
      <w:proofErr w:type="spellEnd"/>
      <w:r w:rsidRPr="00190F7C">
        <w:rPr>
          <w:lang w:eastAsia="en-MY"/>
        </w:rPr>
        <w:t xml:space="preserve"> et al. (2018). </w:t>
      </w:r>
      <w:r w:rsidRPr="00190F7C">
        <w:t xml:space="preserve">The study by </w:t>
      </w:r>
      <w:proofErr w:type="spellStart"/>
      <w:r w:rsidRPr="00190F7C">
        <w:t>Moundigbaye</w:t>
      </w:r>
      <w:proofErr w:type="spellEnd"/>
      <w:r w:rsidRPr="00190F7C">
        <w:t xml:space="preserve"> et al. (2018), and </w:t>
      </w:r>
      <w:r w:rsidRPr="00190F7C">
        <w:fldChar w:fldCharType="begin"/>
      </w:r>
      <w:r w:rsidRPr="00190F7C">
        <w:instrText>ADDIN CSL_CITATION {"citationItems":[{"id":"ITEM-1","itemData":{"author":[{"dropping-particle":"","family":"Musa","given":"Auwalu","non-dropping-particle":"","parse-names":false,"suffix":""},{"dropping-particle":"","family":"Latif","given":"Rohaida Abdul","non-dropping-particle":"","parse-names":false,"suffix":""},{"dropping-particle":"","family":"Abdulmajid","given":"Jamaliah Binti","non-dropping-particle":"","parse-names":false,"suffix":""}],"id":"ITEM-1","issue":"2","issued":{"date-parts":[["2021"]]},"page":"185-202","title":"A Conceptual Review on the Relationship Between CEO Characteristics and Real Earnings Management","type":"article-journal","volume":"3"},"uris":["http://www.mendeley.com/documents/?uuid=e5128433-d6f1-476b-b0ca-dc5089e98e70"]}],"mendeley":{"formattedCitation":"(Musa et al., 2021)","manualFormatting":"Musa et al., (2021","plainTextFormattedCitation":"(Musa et al., 2021)","previouslyFormattedCitation":"(Musa et al., 2021)"},"properties":{"noteIndex":0},"schema":"https://github.com/citation-style-language/schema/raw/master/csl-citation.json"}</w:instrText>
      </w:r>
      <w:r w:rsidRPr="00190F7C">
        <w:fldChar w:fldCharType="separate"/>
      </w:r>
      <w:r w:rsidRPr="00190F7C">
        <w:t>Musa et al. (2021</w:t>
      </w:r>
      <w:r w:rsidRPr="00190F7C">
        <w:fldChar w:fldCharType="end"/>
      </w:r>
      <w:r w:rsidRPr="00190F7C">
        <w:t xml:space="preserve">; </w:t>
      </w:r>
      <w:r w:rsidRPr="00190F7C">
        <w:fldChar w:fldCharType="begin"/>
      </w:r>
      <w:r w:rsidRPr="00190F7C">
        <w:instrText>ADDIN CSL_CITATION {"citationItems":[{"id":"ITEM-1","itemData":{"DOI":"10.1108/JAEE-07-2023-0212","ISSN":"20421176","abstract":"Purpose: This study examines whether the risk management committee (RMC) mitigates earnings management (EM) in Nigeria. Design/methodology/approach: The study used a sample of 365 firm-year observations of Nigerian-listed nonfinancial companies from 2018 to 2022. Driscoll and Kraay’s fixed-effect standard error regression model is used to test the hypotheses. Findings: The study finds that RMC size, expertise, meeting frequency and membership overlapping with the audit committee have a negative effect on both accrual earnings management (AEM) and real earnings management (REM). While RMC independence is found to have a negative effect on REM. Moreover, additional tests reveal that RMC effectiveness is significantly associated with lower EM practices. Further analysis using the industry level finds that RMC attributes mitigate EM practices in some industries. The results remain after rigorous, robust analysis for endogeneity and alternative regressions. Research limitations/implications: This study is limited to a sample of Nigerian-listed nonfinancial service companies for a period of five years, resulting in the non-generalizability of the findings to different contexts as the countries’ internal policies and regulations varied. Practical implications: The findings have important implications for regulators, policymakers and investors that a stand-alone RMC can effectively help to evaluate potential risk activities and implement a proper risk management system, thereby mitigating EM practices. The result can help investors, analysts and other stakeholders across the international community in considering RMC information to evaluate potential risk and earnings management practices. Originality/value: Following the NCCG 2018 reform in Nigeria that requires listed firms to create a standalone RMC, this study is among the earliest that examines the effect of RMC attributes on EM practices and emerging markets. As such, the findings may draw the attention of regulators and policymakers across the African market and the international community to the monitoring role of RMC attributes in mitigating EM practices.","author":[{"dropping-particle":"","family":"Musa","given":"Auwalu","non-dropping-particle":"","parse-names":false,"suffix":""},{"dropping-particle":"","family":"Abdul Latif","given":"Rohaida","non-dropping-particle":"","parse-names":false,"suffix":""},{"dropping-particle":"","family":"Abdul Majid","given":"Jamaliah","non-dropping-particle":"","parse-names":false,"suffix":""}],"container-title":"Journal of Accounting in Emerging Economies","id":"ITEM-1","issue":"2","issued":{"date-parts":[["2025"]]},"page":"273-305","title":"Risk management committee and earnings management: evidence from an emerging market","type":"article-journal","volume":"15"},"uris":["http://www.mendeley.com/documents/?uuid=2eaff19d-2ab4-452c-bb2d-a37f88c20baf"]}],"mendeley":{"formattedCitation":"(Musa et al., 2025)","manualFormatting":"2025)","plainTextFormattedCitation":"(Musa et al., 2025)","previouslyFormattedCitation":"(Musa et al., 2025)"},"properties":{"noteIndex":0},"schema":"https://github.com/citation-style-language/schema/raw/master/csl-citation.json"}</w:instrText>
      </w:r>
      <w:r w:rsidRPr="00190F7C">
        <w:fldChar w:fldCharType="separate"/>
      </w:r>
      <w:r w:rsidRPr="00190F7C">
        <w:t>2025)</w:t>
      </w:r>
      <w:r w:rsidRPr="00190F7C">
        <w:fldChar w:fldCharType="end"/>
      </w:r>
      <w:r w:rsidRPr="00190F7C">
        <w:t xml:space="preserve"> also claims that PCSE is superior to traditional hypothesis testing procedures since it accounts for autocorrelation, cross-sectional dependence, and heteroskedasticity all at once and offers a standardized coefficient. </w:t>
      </w:r>
    </w:p>
    <w:p w14:paraId="522B7B77" w14:textId="77777777" w:rsidR="00FF28A5" w:rsidRDefault="00FF28A5" w:rsidP="00FF28A5">
      <w:pPr>
        <w:ind w:firstLine="284"/>
        <w:jc w:val="both"/>
      </w:pPr>
    </w:p>
    <w:p w14:paraId="210453E4" w14:textId="5A38DAB7" w:rsidR="005B159A" w:rsidRPr="00190F7C" w:rsidRDefault="005B159A" w:rsidP="00FF28A5">
      <w:pPr>
        <w:ind w:firstLine="284"/>
        <w:jc w:val="both"/>
      </w:pPr>
      <w:r w:rsidRPr="00190F7C">
        <w:t xml:space="preserve">The main regression result regarding the influence of institutional factors proxied by economic constraints (access to finance) and competition, Environmental policy and SI is re-estimated using fixed generalised lease square regression model (GLS) in addition to the panel corrected standard error. This study used GLS because the model is well-calibrated where there is a presence of cross-sectional dependence </w:t>
      </w:r>
      <w:r w:rsidRPr="00190F7C">
        <w:fldChar w:fldCharType="begin"/>
      </w:r>
      <w:r w:rsidRPr="00190F7C">
        <w:instrText>ADDIN CSL_CITATION {"citationItems":[{"id":"ITEM-1","itemData":{"DOI":"10.1177/1536867x0700700301","ISSN":"1536867X","abstract":"I present a new Stata program, xtscc, that estimates pooled ordinary least-squares/weighted least-squares regression and fixed-effects (within) regression models with Driscoll and Kraay (Review of Economics and Statistics 80: 549-560) standard errors. By running Monte Carlo simulations, I compare the finite-sample properties of the cross-sectional dependence-consistent Driscoll-Kraay estimator with the properties of other, more commonly used covariance matrix estimators that do not account for cross-sectional dependence. The results indicate that Driscoll-Kraay standard errors are well calibrated when cross-sectional dependence is prosent. However, erroneously ignoring cross-sectional correlation in the estimation of panel models can lead to severely biased statistical results. I illustrate the xtscc program by considering an application from empirical finance. Thereby, I also propose a Hausman-type test for fixed effects that is robust to general forms of cross-sectional and temporal dependence. © 2007 StataCorp LP.","author":[{"dropping-particle":"","family":"Hoechle","given":"Daniel","non-dropping-particle":"","parse-names":false,"suffix":""}],"container-title":"Stata Journal","id":"ITEM-1","issue":"3","issued":{"date-parts":[["2007"]]},"page":"281-312","title":"Robust standard errors for panel regressions with cross-sectional dependence","type":"article-journal","volume":"7"},"uris":["http://www.mendeley.com/documents/?uuid=5724cff7-34b2-422b-a287-1f1394226f6f"]}],"mendeley":{"formattedCitation":"(Hoechle, 2007)","plainTextFormattedCitation":"(Hoechle, 2007)","previouslyFormattedCitation":"(Hoechle, 2007)"},"properties":{"noteIndex":0},"schema":"https://github.com/citation-style-language/schema/raw/master/csl-citation.json"}</w:instrText>
      </w:r>
      <w:r w:rsidRPr="00190F7C">
        <w:fldChar w:fldCharType="separate"/>
      </w:r>
      <w:r w:rsidRPr="00190F7C">
        <w:t>(Hoechle, 2007)</w:t>
      </w:r>
      <w:r w:rsidRPr="00190F7C">
        <w:fldChar w:fldCharType="end"/>
      </w:r>
      <w:r w:rsidRPr="00190F7C">
        <w:t>. Believing that ignoring cross-sectional correlation in the estimation of the panel model might lead to severe biased results. Therefore, GLS is an alternative model to validate the PCSE results. For ease of judgement, the outcome of the PCSE and the GLS alternative estimations are presented in Table 4. Remarkably, the alternative model reveals outcomes that are almost interrelated to the main analysis results using PCSE regression.</w:t>
      </w:r>
    </w:p>
    <w:p w14:paraId="6F3C47A7" w14:textId="77777777" w:rsidR="00795FC1" w:rsidRDefault="00795FC1" w:rsidP="00D338D8">
      <w:pPr>
        <w:jc w:val="both"/>
        <w:rPr>
          <w:b/>
          <w:bCs/>
          <w:color w:val="000000"/>
          <w:lang w:val="en-US"/>
        </w:rPr>
      </w:pPr>
    </w:p>
    <w:p w14:paraId="653D1787" w14:textId="6FC4E2C3" w:rsidR="005B159A" w:rsidRDefault="005B159A" w:rsidP="00D338D8">
      <w:pPr>
        <w:jc w:val="both"/>
        <w:rPr>
          <w:color w:val="000000"/>
          <w:lang w:val="en-US"/>
        </w:rPr>
      </w:pPr>
      <w:r w:rsidRPr="00795FC1">
        <w:rPr>
          <w:color w:val="000000"/>
          <w:lang w:val="en-US"/>
        </w:rPr>
        <w:t>Table 5: Regression Results for the PCSC and GLS Model</w:t>
      </w:r>
    </w:p>
    <w:p w14:paraId="67E9E013" w14:textId="77777777" w:rsidR="00795FC1" w:rsidRPr="00795FC1" w:rsidRDefault="00795FC1" w:rsidP="00D338D8">
      <w:pPr>
        <w:jc w:val="both"/>
        <w:rPr>
          <w:color w:val="000000"/>
          <w:lang w:val="en-US"/>
        </w:rPr>
      </w:pPr>
    </w:p>
    <w:tbl>
      <w:tblPr>
        <w:tblW w:w="8364" w:type="dxa"/>
        <w:tblLook w:val="04A0" w:firstRow="1" w:lastRow="0" w:firstColumn="1" w:lastColumn="0" w:noHBand="0" w:noVBand="1"/>
      </w:tblPr>
      <w:tblGrid>
        <w:gridCol w:w="1440"/>
        <w:gridCol w:w="1620"/>
        <w:gridCol w:w="666"/>
        <w:gridCol w:w="1362"/>
        <w:gridCol w:w="1291"/>
        <w:gridCol w:w="851"/>
        <w:gridCol w:w="1134"/>
      </w:tblGrid>
      <w:tr w:rsidR="005B159A" w:rsidRPr="00190F7C" w14:paraId="79951000" w14:textId="77777777" w:rsidTr="00795FC1">
        <w:trPr>
          <w:trHeight w:val="290"/>
        </w:trPr>
        <w:tc>
          <w:tcPr>
            <w:tcW w:w="1440" w:type="dxa"/>
            <w:tcBorders>
              <w:top w:val="single" w:sz="4" w:space="0" w:color="auto"/>
              <w:left w:val="nil"/>
              <w:right w:val="nil"/>
            </w:tcBorders>
            <w:noWrap/>
            <w:vAlign w:val="bottom"/>
          </w:tcPr>
          <w:p w14:paraId="73BC95A5" w14:textId="77777777" w:rsidR="005B159A" w:rsidRPr="00190F7C" w:rsidRDefault="005B159A" w:rsidP="00D338D8">
            <w:pPr>
              <w:rPr>
                <w:lang w:val="en-US"/>
              </w:rPr>
            </w:pPr>
          </w:p>
        </w:tc>
        <w:tc>
          <w:tcPr>
            <w:tcW w:w="1620" w:type="dxa"/>
            <w:tcBorders>
              <w:top w:val="single" w:sz="4" w:space="0" w:color="auto"/>
              <w:left w:val="nil"/>
              <w:right w:val="nil"/>
            </w:tcBorders>
            <w:noWrap/>
            <w:vAlign w:val="bottom"/>
          </w:tcPr>
          <w:p w14:paraId="24C5C198" w14:textId="77777777" w:rsidR="005B159A" w:rsidRPr="00190F7C" w:rsidRDefault="005B159A" w:rsidP="00D338D8">
            <w:pPr>
              <w:jc w:val="center"/>
              <w:rPr>
                <w:b/>
                <w:bCs/>
                <w:color w:val="000000"/>
                <w:lang w:val="en-US"/>
              </w:rPr>
            </w:pPr>
            <w:r w:rsidRPr="00190F7C">
              <w:rPr>
                <w:b/>
                <w:bCs/>
                <w:color w:val="000000"/>
                <w:lang w:val="en-US"/>
              </w:rPr>
              <w:t>PCSE Model</w:t>
            </w:r>
          </w:p>
        </w:tc>
        <w:tc>
          <w:tcPr>
            <w:tcW w:w="666" w:type="dxa"/>
            <w:tcBorders>
              <w:top w:val="single" w:sz="4" w:space="0" w:color="auto"/>
              <w:left w:val="nil"/>
              <w:right w:val="nil"/>
            </w:tcBorders>
            <w:noWrap/>
            <w:vAlign w:val="bottom"/>
          </w:tcPr>
          <w:p w14:paraId="51A0B85D" w14:textId="77777777" w:rsidR="005B159A" w:rsidRPr="00190F7C" w:rsidRDefault="005B159A" w:rsidP="00D338D8">
            <w:pPr>
              <w:jc w:val="center"/>
              <w:rPr>
                <w:lang w:val="en-US"/>
              </w:rPr>
            </w:pPr>
          </w:p>
        </w:tc>
        <w:tc>
          <w:tcPr>
            <w:tcW w:w="1362" w:type="dxa"/>
            <w:tcBorders>
              <w:top w:val="single" w:sz="4" w:space="0" w:color="auto"/>
              <w:left w:val="nil"/>
              <w:right w:val="single" w:sz="4" w:space="0" w:color="auto"/>
            </w:tcBorders>
            <w:noWrap/>
            <w:vAlign w:val="bottom"/>
          </w:tcPr>
          <w:p w14:paraId="1DCDA0F4" w14:textId="77777777" w:rsidR="005B159A" w:rsidRPr="00190F7C" w:rsidRDefault="005B159A" w:rsidP="00D338D8">
            <w:pPr>
              <w:jc w:val="center"/>
              <w:rPr>
                <w:lang w:val="en-US"/>
              </w:rPr>
            </w:pPr>
          </w:p>
        </w:tc>
        <w:tc>
          <w:tcPr>
            <w:tcW w:w="1291" w:type="dxa"/>
            <w:tcBorders>
              <w:top w:val="single" w:sz="4" w:space="0" w:color="auto"/>
              <w:left w:val="single" w:sz="4" w:space="0" w:color="auto"/>
              <w:right w:val="nil"/>
            </w:tcBorders>
            <w:noWrap/>
            <w:vAlign w:val="bottom"/>
          </w:tcPr>
          <w:p w14:paraId="74A469F5" w14:textId="77777777" w:rsidR="005B159A" w:rsidRPr="00190F7C" w:rsidRDefault="005B159A" w:rsidP="00D338D8">
            <w:pPr>
              <w:jc w:val="center"/>
              <w:rPr>
                <w:b/>
                <w:bCs/>
                <w:color w:val="000000"/>
                <w:lang w:val="en-US"/>
              </w:rPr>
            </w:pPr>
            <w:r w:rsidRPr="00190F7C">
              <w:rPr>
                <w:b/>
                <w:bCs/>
                <w:color w:val="000000"/>
                <w:lang w:val="en-US"/>
              </w:rPr>
              <w:t>GLS Model</w:t>
            </w:r>
          </w:p>
        </w:tc>
        <w:tc>
          <w:tcPr>
            <w:tcW w:w="851" w:type="dxa"/>
            <w:tcBorders>
              <w:top w:val="single" w:sz="4" w:space="0" w:color="auto"/>
              <w:left w:val="nil"/>
              <w:right w:val="nil"/>
            </w:tcBorders>
            <w:noWrap/>
            <w:vAlign w:val="bottom"/>
          </w:tcPr>
          <w:p w14:paraId="6281DA7B" w14:textId="77777777" w:rsidR="005B159A" w:rsidRPr="00190F7C" w:rsidRDefault="005B159A" w:rsidP="00D338D8">
            <w:pPr>
              <w:rPr>
                <w:lang w:val="en-US"/>
              </w:rPr>
            </w:pPr>
          </w:p>
        </w:tc>
        <w:tc>
          <w:tcPr>
            <w:tcW w:w="1134" w:type="dxa"/>
            <w:tcBorders>
              <w:top w:val="single" w:sz="4" w:space="0" w:color="auto"/>
              <w:left w:val="nil"/>
              <w:right w:val="nil"/>
            </w:tcBorders>
            <w:noWrap/>
            <w:vAlign w:val="bottom"/>
          </w:tcPr>
          <w:p w14:paraId="2AA791E7" w14:textId="77777777" w:rsidR="005B159A" w:rsidRPr="00190F7C" w:rsidRDefault="005B159A" w:rsidP="00D338D8">
            <w:pPr>
              <w:rPr>
                <w:lang w:val="en-US"/>
              </w:rPr>
            </w:pPr>
          </w:p>
        </w:tc>
      </w:tr>
      <w:tr w:rsidR="005B159A" w:rsidRPr="00190F7C" w14:paraId="1FDCAC97" w14:textId="77777777" w:rsidTr="00795FC1">
        <w:trPr>
          <w:trHeight w:val="290"/>
        </w:trPr>
        <w:tc>
          <w:tcPr>
            <w:tcW w:w="1440" w:type="dxa"/>
            <w:tcBorders>
              <w:top w:val="nil"/>
              <w:left w:val="nil"/>
              <w:bottom w:val="single" w:sz="4" w:space="0" w:color="auto"/>
              <w:right w:val="nil"/>
            </w:tcBorders>
            <w:noWrap/>
            <w:vAlign w:val="bottom"/>
          </w:tcPr>
          <w:p w14:paraId="6693BBF8" w14:textId="77777777" w:rsidR="005B159A" w:rsidRPr="00190F7C" w:rsidRDefault="005B159A" w:rsidP="00D338D8">
            <w:pPr>
              <w:rPr>
                <w:b/>
                <w:bCs/>
                <w:color w:val="000000"/>
                <w:lang w:val="en-US"/>
              </w:rPr>
            </w:pPr>
            <w:r w:rsidRPr="00190F7C">
              <w:rPr>
                <w:b/>
                <w:bCs/>
                <w:color w:val="000000"/>
                <w:lang w:val="en-US"/>
              </w:rPr>
              <w:t>VAR</w:t>
            </w:r>
          </w:p>
        </w:tc>
        <w:tc>
          <w:tcPr>
            <w:tcW w:w="1620" w:type="dxa"/>
            <w:tcBorders>
              <w:top w:val="nil"/>
              <w:left w:val="nil"/>
              <w:bottom w:val="single" w:sz="4" w:space="0" w:color="auto"/>
              <w:right w:val="nil"/>
            </w:tcBorders>
            <w:noWrap/>
            <w:vAlign w:val="bottom"/>
          </w:tcPr>
          <w:p w14:paraId="4C9F0F8E" w14:textId="77777777" w:rsidR="005B159A" w:rsidRPr="00190F7C" w:rsidRDefault="005B159A" w:rsidP="00D338D8">
            <w:pPr>
              <w:jc w:val="center"/>
              <w:rPr>
                <w:b/>
                <w:bCs/>
                <w:color w:val="000000"/>
                <w:lang w:val="en-US"/>
              </w:rPr>
            </w:pPr>
            <w:r w:rsidRPr="00190F7C">
              <w:rPr>
                <w:b/>
                <w:bCs/>
                <w:color w:val="000000"/>
                <w:lang w:val="en-US"/>
              </w:rPr>
              <w:t>Coeff.</w:t>
            </w:r>
          </w:p>
        </w:tc>
        <w:tc>
          <w:tcPr>
            <w:tcW w:w="666" w:type="dxa"/>
            <w:tcBorders>
              <w:top w:val="nil"/>
              <w:left w:val="nil"/>
              <w:bottom w:val="single" w:sz="4" w:space="0" w:color="auto"/>
              <w:right w:val="nil"/>
            </w:tcBorders>
            <w:noWrap/>
            <w:vAlign w:val="bottom"/>
          </w:tcPr>
          <w:p w14:paraId="0D249B19" w14:textId="77777777" w:rsidR="005B159A" w:rsidRPr="00190F7C" w:rsidRDefault="005B159A" w:rsidP="00D338D8">
            <w:pPr>
              <w:jc w:val="center"/>
              <w:rPr>
                <w:b/>
                <w:bCs/>
                <w:color w:val="000000"/>
                <w:lang w:val="en-US"/>
              </w:rPr>
            </w:pPr>
            <w:r w:rsidRPr="00190F7C">
              <w:rPr>
                <w:b/>
                <w:bCs/>
                <w:color w:val="000000"/>
                <w:lang w:val="en-US"/>
              </w:rPr>
              <w:t>z</w:t>
            </w:r>
          </w:p>
        </w:tc>
        <w:tc>
          <w:tcPr>
            <w:tcW w:w="1362" w:type="dxa"/>
            <w:tcBorders>
              <w:top w:val="nil"/>
              <w:left w:val="nil"/>
              <w:bottom w:val="single" w:sz="4" w:space="0" w:color="auto"/>
              <w:right w:val="single" w:sz="4" w:space="0" w:color="auto"/>
            </w:tcBorders>
            <w:noWrap/>
            <w:vAlign w:val="bottom"/>
          </w:tcPr>
          <w:p w14:paraId="505EBFC2" w14:textId="77777777" w:rsidR="005B159A" w:rsidRPr="00190F7C" w:rsidRDefault="005B159A" w:rsidP="00D338D8">
            <w:pPr>
              <w:jc w:val="center"/>
              <w:rPr>
                <w:b/>
                <w:bCs/>
                <w:color w:val="000000"/>
                <w:lang w:val="en-US"/>
              </w:rPr>
            </w:pPr>
            <w:r w:rsidRPr="00190F7C">
              <w:rPr>
                <w:b/>
                <w:bCs/>
                <w:color w:val="000000"/>
                <w:lang w:val="en-US"/>
              </w:rPr>
              <w:t>p&gt;z</w:t>
            </w:r>
          </w:p>
        </w:tc>
        <w:tc>
          <w:tcPr>
            <w:tcW w:w="1291" w:type="dxa"/>
            <w:tcBorders>
              <w:top w:val="nil"/>
              <w:left w:val="single" w:sz="4" w:space="0" w:color="auto"/>
              <w:bottom w:val="single" w:sz="4" w:space="0" w:color="auto"/>
              <w:right w:val="nil"/>
            </w:tcBorders>
            <w:noWrap/>
            <w:vAlign w:val="bottom"/>
          </w:tcPr>
          <w:p w14:paraId="5DEF5FB9" w14:textId="77777777" w:rsidR="005B159A" w:rsidRPr="00190F7C" w:rsidRDefault="005B159A" w:rsidP="00D338D8">
            <w:pPr>
              <w:jc w:val="center"/>
              <w:rPr>
                <w:b/>
                <w:bCs/>
                <w:color w:val="000000"/>
                <w:lang w:val="en-US"/>
              </w:rPr>
            </w:pPr>
            <w:r w:rsidRPr="00190F7C">
              <w:rPr>
                <w:b/>
                <w:bCs/>
                <w:color w:val="000000"/>
                <w:lang w:val="en-US"/>
              </w:rPr>
              <w:t>Coeff.</w:t>
            </w:r>
          </w:p>
        </w:tc>
        <w:tc>
          <w:tcPr>
            <w:tcW w:w="851" w:type="dxa"/>
            <w:tcBorders>
              <w:top w:val="nil"/>
              <w:left w:val="nil"/>
              <w:bottom w:val="single" w:sz="4" w:space="0" w:color="auto"/>
              <w:right w:val="nil"/>
            </w:tcBorders>
            <w:noWrap/>
            <w:vAlign w:val="bottom"/>
          </w:tcPr>
          <w:p w14:paraId="43382BC6" w14:textId="77777777" w:rsidR="005B159A" w:rsidRPr="00190F7C" w:rsidRDefault="005B159A" w:rsidP="00D338D8">
            <w:pPr>
              <w:jc w:val="center"/>
              <w:rPr>
                <w:b/>
                <w:bCs/>
                <w:color w:val="000000"/>
                <w:lang w:val="en-US"/>
              </w:rPr>
            </w:pPr>
            <w:r w:rsidRPr="00190F7C">
              <w:rPr>
                <w:b/>
                <w:bCs/>
                <w:color w:val="000000"/>
                <w:lang w:val="en-US"/>
              </w:rPr>
              <w:t>z</w:t>
            </w:r>
          </w:p>
        </w:tc>
        <w:tc>
          <w:tcPr>
            <w:tcW w:w="1134" w:type="dxa"/>
            <w:tcBorders>
              <w:top w:val="nil"/>
              <w:left w:val="nil"/>
              <w:bottom w:val="single" w:sz="4" w:space="0" w:color="auto"/>
              <w:right w:val="nil"/>
            </w:tcBorders>
            <w:noWrap/>
            <w:vAlign w:val="bottom"/>
          </w:tcPr>
          <w:p w14:paraId="5CF43686" w14:textId="77777777" w:rsidR="005B159A" w:rsidRPr="00190F7C" w:rsidRDefault="005B159A" w:rsidP="00D338D8">
            <w:pPr>
              <w:jc w:val="center"/>
              <w:rPr>
                <w:b/>
                <w:bCs/>
                <w:color w:val="000000"/>
                <w:lang w:val="en-US"/>
              </w:rPr>
            </w:pPr>
            <w:r w:rsidRPr="00190F7C">
              <w:rPr>
                <w:b/>
                <w:bCs/>
                <w:color w:val="000000"/>
                <w:lang w:val="en-US"/>
              </w:rPr>
              <w:t>p&gt;z</w:t>
            </w:r>
          </w:p>
        </w:tc>
      </w:tr>
      <w:tr w:rsidR="005B159A" w:rsidRPr="00190F7C" w14:paraId="0DE3A7D1" w14:textId="77777777" w:rsidTr="00795FC1">
        <w:trPr>
          <w:trHeight w:val="290"/>
        </w:trPr>
        <w:tc>
          <w:tcPr>
            <w:tcW w:w="1440" w:type="dxa"/>
            <w:tcBorders>
              <w:top w:val="single" w:sz="4" w:space="0" w:color="auto"/>
              <w:left w:val="nil"/>
              <w:bottom w:val="nil"/>
              <w:right w:val="nil"/>
            </w:tcBorders>
            <w:noWrap/>
            <w:vAlign w:val="bottom"/>
          </w:tcPr>
          <w:p w14:paraId="6FD5E4A2" w14:textId="77777777" w:rsidR="005B159A" w:rsidRPr="00304CE2" w:rsidRDefault="005B159A" w:rsidP="00304CE2">
            <w:pPr>
              <w:rPr>
                <w:color w:val="000000"/>
                <w:lang w:val="en-US"/>
              </w:rPr>
            </w:pPr>
            <w:r w:rsidRPr="00304CE2">
              <w:rPr>
                <w:color w:val="000000"/>
                <w:lang w:val="en-US"/>
              </w:rPr>
              <w:t>ACFI</w:t>
            </w:r>
          </w:p>
        </w:tc>
        <w:tc>
          <w:tcPr>
            <w:tcW w:w="1620" w:type="dxa"/>
            <w:tcBorders>
              <w:top w:val="single" w:sz="4" w:space="0" w:color="auto"/>
              <w:left w:val="nil"/>
              <w:bottom w:val="nil"/>
              <w:right w:val="nil"/>
            </w:tcBorders>
            <w:noWrap/>
            <w:vAlign w:val="bottom"/>
          </w:tcPr>
          <w:p w14:paraId="7BB11B80" w14:textId="77777777" w:rsidR="005B159A" w:rsidRPr="00304CE2" w:rsidRDefault="005B159A" w:rsidP="00304CE2">
            <w:pPr>
              <w:jc w:val="center"/>
              <w:rPr>
                <w:color w:val="000000"/>
                <w:lang w:val="en-US"/>
              </w:rPr>
            </w:pPr>
            <w:r w:rsidRPr="00304CE2">
              <w:rPr>
                <w:color w:val="000000"/>
                <w:lang w:val="en-US"/>
              </w:rPr>
              <w:t>-0.0136</w:t>
            </w:r>
          </w:p>
        </w:tc>
        <w:tc>
          <w:tcPr>
            <w:tcW w:w="666" w:type="dxa"/>
            <w:tcBorders>
              <w:top w:val="single" w:sz="4" w:space="0" w:color="auto"/>
              <w:left w:val="nil"/>
              <w:bottom w:val="nil"/>
              <w:right w:val="nil"/>
            </w:tcBorders>
            <w:noWrap/>
            <w:vAlign w:val="bottom"/>
          </w:tcPr>
          <w:p w14:paraId="5478F90E" w14:textId="77777777" w:rsidR="005B159A" w:rsidRPr="00304CE2" w:rsidRDefault="005B159A" w:rsidP="00304CE2">
            <w:pPr>
              <w:jc w:val="right"/>
              <w:rPr>
                <w:color w:val="000000"/>
                <w:lang w:val="en-US"/>
              </w:rPr>
            </w:pPr>
            <w:r w:rsidRPr="00304CE2">
              <w:rPr>
                <w:color w:val="000000"/>
                <w:lang w:val="en-US"/>
              </w:rPr>
              <w:t>-0.60</w:t>
            </w:r>
          </w:p>
        </w:tc>
        <w:tc>
          <w:tcPr>
            <w:tcW w:w="1362" w:type="dxa"/>
            <w:tcBorders>
              <w:top w:val="single" w:sz="4" w:space="0" w:color="auto"/>
              <w:left w:val="nil"/>
              <w:bottom w:val="nil"/>
              <w:right w:val="single" w:sz="4" w:space="0" w:color="auto"/>
            </w:tcBorders>
            <w:noWrap/>
            <w:vAlign w:val="bottom"/>
          </w:tcPr>
          <w:p w14:paraId="3FF77C28" w14:textId="77777777" w:rsidR="005B159A" w:rsidRPr="00304CE2" w:rsidRDefault="005B159A" w:rsidP="00304CE2">
            <w:pPr>
              <w:rPr>
                <w:color w:val="000000"/>
                <w:lang w:val="en-US"/>
              </w:rPr>
            </w:pPr>
            <w:r w:rsidRPr="00304CE2">
              <w:rPr>
                <w:color w:val="000000"/>
                <w:lang w:val="en-US"/>
              </w:rPr>
              <w:t>0.551</w:t>
            </w:r>
          </w:p>
        </w:tc>
        <w:tc>
          <w:tcPr>
            <w:tcW w:w="1291" w:type="dxa"/>
            <w:tcBorders>
              <w:top w:val="single" w:sz="4" w:space="0" w:color="auto"/>
              <w:left w:val="single" w:sz="4" w:space="0" w:color="auto"/>
              <w:bottom w:val="nil"/>
              <w:right w:val="nil"/>
            </w:tcBorders>
            <w:noWrap/>
            <w:vAlign w:val="bottom"/>
          </w:tcPr>
          <w:p w14:paraId="1462DDDB" w14:textId="77777777" w:rsidR="005B159A" w:rsidRPr="00304CE2" w:rsidRDefault="005B159A" w:rsidP="00304CE2">
            <w:pPr>
              <w:jc w:val="center"/>
              <w:rPr>
                <w:color w:val="000000"/>
                <w:lang w:val="en-US"/>
              </w:rPr>
            </w:pPr>
            <w:r w:rsidRPr="00304CE2">
              <w:rPr>
                <w:color w:val="000000"/>
                <w:lang w:val="en-US"/>
              </w:rPr>
              <w:t>-0.0136</w:t>
            </w:r>
          </w:p>
        </w:tc>
        <w:tc>
          <w:tcPr>
            <w:tcW w:w="851" w:type="dxa"/>
            <w:tcBorders>
              <w:top w:val="single" w:sz="4" w:space="0" w:color="auto"/>
              <w:left w:val="nil"/>
              <w:bottom w:val="nil"/>
              <w:right w:val="nil"/>
            </w:tcBorders>
            <w:noWrap/>
            <w:vAlign w:val="bottom"/>
          </w:tcPr>
          <w:p w14:paraId="2FE5CD70" w14:textId="77777777" w:rsidR="005B159A" w:rsidRPr="00190F7C" w:rsidRDefault="005B159A" w:rsidP="00D338D8">
            <w:pPr>
              <w:jc w:val="right"/>
              <w:rPr>
                <w:color w:val="000000"/>
                <w:lang w:val="en-US"/>
              </w:rPr>
            </w:pPr>
            <w:r w:rsidRPr="00190F7C">
              <w:rPr>
                <w:color w:val="000000"/>
                <w:lang w:val="en-US"/>
              </w:rPr>
              <w:t>-0.76</w:t>
            </w:r>
          </w:p>
        </w:tc>
        <w:tc>
          <w:tcPr>
            <w:tcW w:w="1134" w:type="dxa"/>
            <w:tcBorders>
              <w:top w:val="single" w:sz="4" w:space="0" w:color="auto"/>
              <w:left w:val="nil"/>
              <w:bottom w:val="nil"/>
              <w:right w:val="nil"/>
            </w:tcBorders>
            <w:noWrap/>
            <w:vAlign w:val="bottom"/>
          </w:tcPr>
          <w:p w14:paraId="1E0701FA" w14:textId="77777777" w:rsidR="005B159A" w:rsidRPr="00190F7C" w:rsidRDefault="005B159A" w:rsidP="00D338D8">
            <w:pPr>
              <w:jc w:val="center"/>
              <w:rPr>
                <w:color w:val="000000"/>
                <w:lang w:val="en-US"/>
              </w:rPr>
            </w:pPr>
            <w:r w:rsidRPr="00190F7C">
              <w:rPr>
                <w:color w:val="000000"/>
                <w:lang w:val="en-US"/>
              </w:rPr>
              <w:t>0.449</w:t>
            </w:r>
          </w:p>
        </w:tc>
      </w:tr>
      <w:tr w:rsidR="005B159A" w:rsidRPr="00190F7C" w14:paraId="65E13C46" w14:textId="77777777" w:rsidTr="00795FC1">
        <w:trPr>
          <w:trHeight w:val="290"/>
        </w:trPr>
        <w:tc>
          <w:tcPr>
            <w:tcW w:w="1440" w:type="dxa"/>
            <w:tcBorders>
              <w:top w:val="nil"/>
              <w:left w:val="nil"/>
              <w:bottom w:val="nil"/>
              <w:right w:val="nil"/>
            </w:tcBorders>
            <w:noWrap/>
            <w:vAlign w:val="bottom"/>
          </w:tcPr>
          <w:p w14:paraId="71A9C827" w14:textId="77777777" w:rsidR="005B159A" w:rsidRPr="00304CE2" w:rsidRDefault="005B159A" w:rsidP="00304CE2">
            <w:pPr>
              <w:rPr>
                <w:color w:val="000000"/>
                <w:lang w:val="en-US"/>
              </w:rPr>
            </w:pPr>
            <w:r w:rsidRPr="00304CE2">
              <w:rPr>
                <w:color w:val="000000"/>
                <w:lang w:val="en-US"/>
              </w:rPr>
              <w:t>COMP</w:t>
            </w:r>
          </w:p>
        </w:tc>
        <w:tc>
          <w:tcPr>
            <w:tcW w:w="1620" w:type="dxa"/>
            <w:tcBorders>
              <w:top w:val="nil"/>
              <w:left w:val="nil"/>
              <w:bottom w:val="nil"/>
              <w:right w:val="nil"/>
            </w:tcBorders>
            <w:noWrap/>
            <w:vAlign w:val="bottom"/>
          </w:tcPr>
          <w:p w14:paraId="19706819" w14:textId="77777777" w:rsidR="005B159A" w:rsidRPr="00304CE2" w:rsidRDefault="005B159A" w:rsidP="00304CE2">
            <w:pPr>
              <w:jc w:val="center"/>
              <w:rPr>
                <w:color w:val="000000"/>
                <w:lang w:val="en-US"/>
              </w:rPr>
            </w:pPr>
            <w:r w:rsidRPr="00304CE2">
              <w:rPr>
                <w:color w:val="000000"/>
                <w:lang w:val="en-US"/>
              </w:rPr>
              <w:t>0.0080</w:t>
            </w:r>
          </w:p>
        </w:tc>
        <w:tc>
          <w:tcPr>
            <w:tcW w:w="666" w:type="dxa"/>
            <w:tcBorders>
              <w:top w:val="nil"/>
              <w:left w:val="nil"/>
              <w:bottom w:val="nil"/>
              <w:right w:val="nil"/>
            </w:tcBorders>
            <w:noWrap/>
            <w:vAlign w:val="bottom"/>
          </w:tcPr>
          <w:p w14:paraId="0856382A" w14:textId="77777777" w:rsidR="005B159A" w:rsidRPr="00304CE2" w:rsidRDefault="005B159A" w:rsidP="00304CE2">
            <w:pPr>
              <w:jc w:val="right"/>
              <w:rPr>
                <w:color w:val="000000"/>
                <w:lang w:val="en-US"/>
              </w:rPr>
            </w:pPr>
            <w:r w:rsidRPr="00304CE2">
              <w:rPr>
                <w:color w:val="000000"/>
                <w:lang w:val="en-US"/>
              </w:rPr>
              <w:t>1.89</w:t>
            </w:r>
          </w:p>
        </w:tc>
        <w:tc>
          <w:tcPr>
            <w:tcW w:w="1362" w:type="dxa"/>
            <w:tcBorders>
              <w:top w:val="nil"/>
              <w:left w:val="nil"/>
              <w:bottom w:val="nil"/>
              <w:right w:val="single" w:sz="4" w:space="0" w:color="auto"/>
            </w:tcBorders>
            <w:noWrap/>
            <w:vAlign w:val="bottom"/>
          </w:tcPr>
          <w:p w14:paraId="6EB555C2" w14:textId="77777777" w:rsidR="005B159A" w:rsidRPr="00304CE2" w:rsidRDefault="005B159A" w:rsidP="00304CE2">
            <w:pPr>
              <w:rPr>
                <w:color w:val="000000"/>
                <w:lang w:val="en-US"/>
              </w:rPr>
            </w:pPr>
            <w:r w:rsidRPr="00304CE2">
              <w:rPr>
                <w:color w:val="000000"/>
                <w:lang w:val="en-US"/>
              </w:rPr>
              <w:t>0.049**</w:t>
            </w:r>
          </w:p>
        </w:tc>
        <w:tc>
          <w:tcPr>
            <w:tcW w:w="1291" w:type="dxa"/>
            <w:tcBorders>
              <w:top w:val="nil"/>
              <w:left w:val="single" w:sz="4" w:space="0" w:color="auto"/>
              <w:bottom w:val="nil"/>
              <w:right w:val="nil"/>
            </w:tcBorders>
            <w:noWrap/>
            <w:vAlign w:val="bottom"/>
          </w:tcPr>
          <w:p w14:paraId="3DA7DDA7" w14:textId="77777777" w:rsidR="005B159A" w:rsidRPr="00304CE2" w:rsidRDefault="005B159A" w:rsidP="00304CE2">
            <w:pPr>
              <w:jc w:val="center"/>
              <w:rPr>
                <w:color w:val="000000"/>
                <w:lang w:val="en-US"/>
              </w:rPr>
            </w:pPr>
            <w:r w:rsidRPr="00304CE2">
              <w:rPr>
                <w:color w:val="000000"/>
                <w:lang w:val="en-US"/>
              </w:rPr>
              <w:t>0.0080</w:t>
            </w:r>
          </w:p>
        </w:tc>
        <w:tc>
          <w:tcPr>
            <w:tcW w:w="851" w:type="dxa"/>
            <w:tcBorders>
              <w:top w:val="nil"/>
              <w:left w:val="nil"/>
              <w:bottom w:val="nil"/>
              <w:right w:val="nil"/>
            </w:tcBorders>
            <w:noWrap/>
            <w:vAlign w:val="bottom"/>
          </w:tcPr>
          <w:p w14:paraId="6BEF11FA" w14:textId="77777777" w:rsidR="005B159A" w:rsidRPr="00190F7C" w:rsidRDefault="005B159A" w:rsidP="00D338D8">
            <w:pPr>
              <w:jc w:val="right"/>
              <w:rPr>
                <w:color w:val="000000"/>
                <w:lang w:val="en-US"/>
              </w:rPr>
            </w:pPr>
            <w:r w:rsidRPr="00190F7C">
              <w:rPr>
                <w:color w:val="000000"/>
                <w:lang w:val="en-US"/>
              </w:rPr>
              <w:t>1.27</w:t>
            </w:r>
          </w:p>
        </w:tc>
        <w:tc>
          <w:tcPr>
            <w:tcW w:w="1134" w:type="dxa"/>
            <w:tcBorders>
              <w:top w:val="nil"/>
              <w:left w:val="nil"/>
              <w:bottom w:val="nil"/>
              <w:right w:val="nil"/>
            </w:tcBorders>
            <w:noWrap/>
            <w:vAlign w:val="bottom"/>
          </w:tcPr>
          <w:p w14:paraId="4D919A82" w14:textId="77777777" w:rsidR="005B159A" w:rsidRPr="00190F7C" w:rsidRDefault="005B159A" w:rsidP="00D338D8">
            <w:pPr>
              <w:jc w:val="center"/>
              <w:rPr>
                <w:color w:val="000000"/>
                <w:lang w:val="en-US"/>
              </w:rPr>
            </w:pPr>
            <w:r w:rsidRPr="00190F7C">
              <w:rPr>
                <w:color w:val="000000"/>
                <w:lang w:val="en-US"/>
              </w:rPr>
              <w:t>0.003***</w:t>
            </w:r>
          </w:p>
        </w:tc>
      </w:tr>
      <w:tr w:rsidR="005B159A" w:rsidRPr="00190F7C" w14:paraId="24568B3B" w14:textId="77777777" w:rsidTr="00795FC1">
        <w:trPr>
          <w:trHeight w:val="290"/>
        </w:trPr>
        <w:tc>
          <w:tcPr>
            <w:tcW w:w="1440" w:type="dxa"/>
            <w:tcBorders>
              <w:top w:val="nil"/>
              <w:left w:val="nil"/>
              <w:bottom w:val="nil"/>
              <w:right w:val="nil"/>
            </w:tcBorders>
            <w:noWrap/>
            <w:vAlign w:val="bottom"/>
          </w:tcPr>
          <w:p w14:paraId="0CD23B79" w14:textId="77777777" w:rsidR="005B159A" w:rsidRPr="00304CE2" w:rsidRDefault="005B159A" w:rsidP="00304CE2">
            <w:pPr>
              <w:rPr>
                <w:color w:val="000000"/>
                <w:lang w:val="en-US"/>
              </w:rPr>
            </w:pPr>
            <w:r w:rsidRPr="00304CE2">
              <w:rPr>
                <w:color w:val="000000"/>
                <w:lang w:val="en-US"/>
              </w:rPr>
              <w:t>ENVP</w:t>
            </w:r>
          </w:p>
        </w:tc>
        <w:tc>
          <w:tcPr>
            <w:tcW w:w="1620" w:type="dxa"/>
            <w:tcBorders>
              <w:top w:val="nil"/>
              <w:left w:val="nil"/>
              <w:bottom w:val="nil"/>
              <w:right w:val="nil"/>
            </w:tcBorders>
            <w:noWrap/>
            <w:vAlign w:val="bottom"/>
          </w:tcPr>
          <w:p w14:paraId="784055F6" w14:textId="77777777" w:rsidR="005B159A" w:rsidRPr="00304CE2" w:rsidRDefault="005B159A" w:rsidP="00304CE2">
            <w:pPr>
              <w:jc w:val="center"/>
              <w:rPr>
                <w:color w:val="000000"/>
                <w:lang w:val="en-US"/>
              </w:rPr>
            </w:pPr>
            <w:r w:rsidRPr="00304CE2">
              <w:rPr>
                <w:color w:val="000000"/>
                <w:lang w:val="en-US"/>
              </w:rPr>
              <w:t>0.2662</w:t>
            </w:r>
          </w:p>
        </w:tc>
        <w:tc>
          <w:tcPr>
            <w:tcW w:w="666" w:type="dxa"/>
            <w:tcBorders>
              <w:top w:val="nil"/>
              <w:left w:val="nil"/>
              <w:bottom w:val="nil"/>
              <w:right w:val="nil"/>
            </w:tcBorders>
            <w:noWrap/>
            <w:vAlign w:val="bottom"/>
          </w:tcPr>
          <w:p w14:paraId="572EC9BC" w14:textId="77777777" w:rsidR="005B159A" w:rsidRPr="00304CE2" w:rsidRDefault="005B159A" w:rsidP="00304CE2">
            <w:pPr>
              <w:jc w:val="right"/>
              <w:rPr>
                <w:color w:val="000000"/>
                <w:lang w:val="en-US"/>
              </w:rPr>
            </w:pPr>
            <w:r w:rsidRPr="00304CE2">
              <w:rPr>
                <w:color w:val="000000"/>
                <w:lang w:val="en-US"/>
              </w:rPr>
              <w:t>17.57</w:t>
            </w:r>
          </w:p>
        </w:tc>
        <w:tc>
          <w:tcPr>
            <w:tcW w:w="1362" w:type="dxa"/>
            <w:tcBorders>
              <w:top w:val="nil"/>
              <w:left w:val="nil"/>
              <w:bottom w:val="nil"/>
              <w:right w:val="single" w:sz="4" w:space="0" w:color="auto"/>
            </w:tcBorders>
            <w:noWrap/>
            <w:vAlign w:val="bottom"/>
          </w:tcPr>
          <w:p w14:paraId="38FE0571" w14:textId="77777777" w:rsidR="005B159A" w:rsidRPr="00304CE2" w:rsidRDefault="005B159A" w:rsidP="00304CE2">
            <w:pPr>
              <w:rPr>
                <w:color w:val="000000"/>
                <w:lang w:val="en-US"/>
              </w:rPr>
            </w:pPr>
            <w:r w:rsidRPr="00304CE2">
              <w:rPr>
                <w:color w:val="000000"/>
                <w:lang w:val="en-US"/>
              </w:rPr>
              <w:t>0.000***</w:t>
            </w:r>
          </w:p>
        </w:tc>
        <w:tc>
          <w:tcPr>
            <w:tcW w:w="1291" w:type="dxa"/>
            <w:tcBorders>
              <w:top w:val="nil"/>
              <w:left w:val="single" w:sz="4" w:space="0" w:color="auto"/>
              <w:bottom w:val="nil"/>
              <w:right w:val="nil"/>
            </w:tcBorders>
            <w:noWrap/>
            <w:vAlign w:val="bottom"/>
          </w:tcPr>
          <w:p w14:paraId="04239938" w14:textId="77777777" w:rsidR="005B159A" w:rsidRPr="00304CE2" w:rsidRDefault="005B159A" w:rsidP="00304CE2">
            <w:pPr>
              <w:jc w:val="center"/>
              <w:rPr>
                <w:color w:val="000000"/>
                <w:lang w:val="en-US"/>
              </w:rPr>
            </w:pPr>
            <w:r w:rsidRPr="00304CE2">
              <w:rPr>
                <w:color w:val="000000"/>
                <w:lang w:val="en-US"/>
              </w:rPr>
              <w:t>0.2662</w:t>
            </w:r>
          </w:p>
        </w:tc>
        <w:tc>
          <w:tcPr>
            <w:tcW w:w="851" w:type="dxa"/>
            <w:tcBorders>
              <w:top w:val="nil"/>
              <w:left w:val="nil"/>
              <w:bottom w:val="nil"/>
              <w:right w:val="nil"/>
            </w:tcBorders>
            <w:noWrap/>
            <w:vAlign w:val="bottom"/>
          </w:tcPr>
          <w:p w14:paraId="64B9B2A9" w14:textId="77777777" w:rsidR="005B159A" w:rsidRPr="00190F7C" w:rsidRDefault="005B159A" w:rsidP="00D338D8">
            <w:pPr>
              <w:jc w:val="right"/>
              <w:rPr>
                <w:color w:val="000000"/>
                <w:lang w:val="en-US"/>
              </w:rPr>
            </w:pPr>
            <w:r w:rsidRPr="00190F7C">
              <w:rPr>
                <w:color w:val="000000"/>
                <w:lang w:val="en-US"/>
              </w:rPr>
              <w:t>11.42</w:t>
            </w:r>
          </w:p>
        </w:tc>
        <w:tc>
          <w:tcPr>
            <w:tcW w:w="1134" w:type="dxa"/>
            <w:tcBorders>
              <w:top w:val="nil"/>
              <w:left w:val="nil"/>
              <w:bottom w:val="nil"/>
              <w:right w:val="nil"/>
            </w:tcBorders>
            <w:noWrap/>
            <w:vAlign w:val="bottom"/>
          </w:tcPr>
          <w:p w14:paraId="4307FBE0" w14:textId="77777777" w:rsidR="005B159A" w:rsidRPr="00190F7C" w:rsidRDefault="005B159A" w:rsidP="00D338D8">
            <w:pPr>
              <w:jc w:val="center"/>
              <w:rPr>
                <w:color w:val="000000"/>
                <w:lang w:val="en-US"/>
              </w:rPr>
            </w:pPr>
            <w:r w:rsidRPr="00190F7C">
              <w:rPr>
                <w:color w:val="000000"/>
                <w:lang w:val="en-US"/>
              </w:rPr>
              <w:t>0.000***</w:t>
            </w:r>
          </w:p>
        </w:tc>
      </w:tr>
      <w:tr w:rsidR="005B159A" w:rsidRPr="00190F7C" w14:paraId="74B8753A" w14:textId="77777777" w:rsidTr="00795FC1">
        <w:trPr>
          <w:trHeight w:val="290"/>
        </w:trPr>
        <w:tc>
          <w:tcPr>
            <w:tcW w:w="1440" w:type="dxa"/>
            <w:tcBorders>
              <w:top w:val="nil"/>
              <w:left w:val="nil"/>
              <w:bottom w:val="nil"/>
              <w:right w:val="nil"/>
            </w:tcBorders>
            <w:noWrap/>
            <w:vAlign w:val="bottom"/>
          </w:tcPr>
          <w:p w14:paraId="27281B85" w14:textId="77777777" w:rsidR="005B159A" w:rsidRPr="00304CE2" w:rsidRDefault="005B159A" w:rsidP="00304CE2">
            <w:pPr>
              <w:rPr>
                <w:color w:val="000000"/>
                <w:lang w:val="en-US"/>
              </w:rPr>
            </w:pPr>
            <w:r w:rsidRPr="00304CE2">
              <w:rPr>
                <w:color w:val="000000"/>
                <w:lang w:val="en-US"/>
              </w:rPr>
              <w:t>CSZE</w:t>
            </w:r>
          </w:p>
        </w:tc>
        <w:tc>
          <w:tcPr>
            <w:tcW w:w="1620" w:type="dxa"/>
            <w:tcBorders>
              <w:top w:val="nil"/>
              <w:left w:val="nil"/>
              <w:bottom w:val="nil"/>
              <w:right w:val="nil"/>
            </w:tcBorders>
            <w:noWrap/>
            <w:vAlign w:val="bottom"/>
          </w:tcPr>
          <w:p w14:paraId="48B482ED" w14:textId="77777777" w:rsidR="005B159A" w:rsidRPr="00304CE2" w:rsidRDefault="005B159A" w:rsidP="00304CE2">
            <w:pPr>
              <w:jc w:val="center"/>
              <w:rPr>
                <w:color w:val="000000"/>
                <w:lang w:val="en-US"/>
              </w:rPr>
            </w:pPr>
            <w:r w:rsidRPr="00304CE2">
              <w:rPr>
                <w:color w:val="000000"/>
                <w:lang w:val="en-US"/>
              </w:rPr>
              <w:t>0.0048</w:t>
            </w:r>
          </w:p>
        </w:tc>
        <w:tc>
          <w:tcPr>
            <w:tcW w:w="666" w:type="dxa"/>
            <w:tcBorders>
              <w:top w:val="nil"/>
              <w:left w:val="nil"/>
              <w:bottom w:val="nil"/>
              <w:right w:val="nil"/>
            </w:tcBorders>
            <w:noWrap/>
            <w:vAlign w:val="bottom"/>
          </w:tcPr>
          <w:p w14:paraId="500F8E1F" w14:textId="77777777" w:rsidR="005B159A" w:rsidRPr="00304CE2" w:rsidRDefault="005B159A" w:rsidP="00304CE2">
            <w:pPr>
              <w:jc w:val="right"/>
              <w:rPr>
                <w:color w:val="000000"/>
                <w:lang w:val="en-US"/>
              </w:rPr>
            </w:pPr>
            <w:r w:rsidRPr="00304CE2">
              <w:rPr>
                <w:color w:val="000000"/>
                <w:lang w:val="en-US"/>
              </w:rPr>
              <w:t>3.14</w:t>
            </w:r>
          </w:p>
        </w:tc>
        <w:tc>
          <w:tcPr>
            <w:tcW w:w="1362" w:type="dxa"/>
            <w:tcBorders>
              <w:top w:val="nil"/>
              <w:left w:val="nil"/>
              <w:bottom w:val="nil"/>
              <w:right w:val="single" w:sz="4" w:space="0" w:color="auto"/>
            </w:tcBorders>
            <w:noWrap/>
            <w:vAlign w:val="bottom"/>
          </w:tcPr>
          <w:p w14:paraId="7FCC14CC" w14:textId="77777777" w:rsidR="005B159A" w:rsidRPr="00304CE2" w:rsidRDefault="005B159A" w:rsidP="00304CE2">
            <w:pPr>
              <w:rPr>
                <w:color w:val="000000"/>
                <w:lang w:val="en-US"/>
              </w:rPr>
            </w:pPr>
            <w:r w:rsidRPr="00304CE2">
              <w:rPr>
                <w:color w:val="000000"/>
                <w:lang w:val="en-US"/>
              </w:rPr>
              <w:t>0.002***</w:t>
            </w:r>
          </w:p>
        </w:tc>
        <w:tc>
          <w:tcPr>
            <w:tcW w:w="1291" w:type="dxa"/>
            <w:tcBorders>
              <w:top w:val="nil"/>
              <w:left w:val="single" w:sz="4" w:space="0" w:color="auto"/>
              <w:bottom w:val="nil"/>
              <w:right w:val="nil"/>
            </w:tcBorders>
            <w:noWrap/>
            <w:vAlign w:val="bottom"/>
          </w:tcPr>
          <w:p w14:paraId="5346D8A2" w14:textId="77777777" w:rsidR="005B159A" w:rsidRPr="00304CE2" w:rsidRDefault="005B159A" w:rsidP="00304CE2">
            <w:pPr>
              <w:jc w:val="center"/>
              <w:rPr>
                <w:color w:val="000000"/>
                <w:lang w:val="en-US"/>
              </w:rPr>
            </w:pPr>
            <w:r w:rsidRPr="00304CE2">
              <w:rPr>
                <w:color w:val="000000"/>
                <w:lang w:val="en-US"/>
              </w:rPr>
              <w:t>0.0048</w:t>
            </w:r>
          </w:p>
        </w:tc>
        <w:tc>
          <w:tcPr>
            <w:tcW w:w="851" w:type="dxa"/>
            <w:tcBorders>
              <w:top w:val="nil"/>
              <w:left w:val="nil"/>
              <w:bottom w:val="nil"/>
              <w:right w:val="nil"/>
            </w:tcBorders>
            <w:noWrap/>
            <w:vAlign w:val="bottom"/>
          </w:tcPr>
          <w:p w14:paraId="5FF1A8E0" w14:textId="77777777" w:rsidR="005B159A" w:rsidRPr="00190F7C" w:rsidRDefault="005B159A" w:rsidP="00D338D8">
            <w:pPr>
              <w:jc w:val="right"/>
              <w:rPr>
                <w:color w:val="000000"/>
                <w:lang w:val="en-US"/>
              </w:rPr>
            </w:pPr>
            <w:r w:rsidRPr="00190F7C">
              <w:rPr>
                <w:color w:val="000000"/>
                <w:lang w:val="en-US"/>
              </w:rPr>
              <w:t>3.20</w:t>
            </w:r>
          </w:p>
        </w:tc>
        <w:tc>
          <w:tcPr>
            <w:tcW w:w="1134" w:type="dxa"/>
            <w:tcBorders>
              <w:top w:val="nil"/>
              <w:left w:val="nil"/>
              <w:bottom w:val="nil"/>
              <w:right w:val="nil"/>
            </w:tcBorders>
            <w:noWrap/>
            <w:vAlign w:val="bottom"/>
          </w:tcPr>
          <w:p w14:paraId="54E8740A" w14:textId="77777777" w:rsidR="005B159A" w:rsidRPr="00190F7C" w:rsidRDefault="005B159A" w:rsidP="00D338D8">
            <w:pPr>
              <w:rPr>
                <w:color w:val="000000"/>
                <w:lang w:val="en-US"/>
              </w:rPr>
            </w:pPr>
            <w:r w:rsidRPr="00190F7C">
              <w:rPr>
                <w:color w:val="000000"/>
                <w:lang w:val="en-US"/>
              </w:rPr>
              <w:t>0.001***</w:t>
            </w:r>
          </w:p>
        </w:tc>
      </w:tr>
      <w:tr w:rsidR="005B159A" w:rsidRPr="00190F7C" w14:paraId="516257F6" w14:textId="77777777" w:rsidTr="00795FC1">
        <w:trPr>
          <w:trHeight w:val="290"/>
        </w:trPr>
        <w:tc>
          <w:tcPr>
            <w:tcW w:w="1440" w:type="dxa"/>
            <w:tcBorders>
              <w:top w:val="nil"/>
              <w:left w:val="nil"/>
              <w:bottom w:val="nil"/>
              <w:right w:val="nil"/>
            </w:tcBorders>
            <w:noWrap/>
            <w:vAlign w:val="bottom"/>
          </w:tcPr>
          <w:p w14:paraId="63762ADA" w14:textId="77777777" w:rsidR="005B159A" w:rsidRPr="00304CE2" w:rsidRDefault="005B159A" w:rsidP="00304CE2">
            <w:pPr>
              <w:rPr>
                <w:color w:val="000000"/>
                <w:lang w:val="en-US"/>
              </w:rPr>
            </w:pPr>
            <w:r w:rsidRPr="00304CE2">
              <w:rPr>
                <w:color w:val="000000"/>
                <w:lang w:val="en-US"/>
              </w:rPr>
              <w:t>LEV</w:t>
            </w:r>
          </w:p>
        </w:tc>
        <w:tc>
          <w:tcPr>
            <w:tcW w:w="1620" w:type="dxa"/>
            <w:tcBorders>
              <w:top w:val="nil"/>
              <w:left w:val="nil"/>
              <w:bottom w:val="nil"/>
              <w:right w:val="nil"/>
            </w:tcBorders>
            <w:noWrap/>
            <w:vAlign w:val="bottom"/>
          </w:tcPr>
          <w:p w14:paraId="4756E5E8" w14:textId="77777777" w:rsidR="005B159A" w:rsidRPr="00304CE2" w:rsidRDefault="005B159A" w:rsidP="00304CE2">
            <w:pPr>
              <w:jc w:val="center"/>
              <w:rPr>
                <w:color w:val="000000"/>
                <w:lang w:val="en-US"/>
              </w:rPr>
            </w:pPr>
            <w:r w:rsidRPr="00304CE2">
              <w:rPr>
                <w:color w:val="000000"/>
                <w:lang w:val="en-US"/>
              </w:rPr>
              <w:t>-0.0124</w:t>
            </w:r>
          </w:p>
        </w:tc>
        <w:tc>
          <w:tcPr>
            <w:tcW w:w="666" w:type="dxa"/>
            <w:tcBorders>
              <w:top w:val="nil"/>
              <w:left w:val="nil"/>
              <w:bottom w:val="nil"/>
              <w:right w:val="nil"/>
            </w:tcBorders>
            <w:noWrap/>
            <w:vAlign w:val="bottom"/>
          </w:tcPr>
          <w:p w14:paraId="6BBEC0A8" w14:textId="77777777" w:rsidR="005B159A" w:rsidRPr="00304CE2" w:rsidRDefault="005B159A" w:rsidP="00304CE2">
            <w:pPr>
              <w:jc w:val="right"/>
              <w:rPr>
                <w:color w:val="000000"/>
                <w:lang w:val="en-US"/>
              </w:rPr>
            </w:pPr>
            <w:r w:rsidRPr="00304CE2">
              <w:rPr>
                <w:color w:val="000000"/>
                <w:lang w:val="en-US"/>
              </w:rPr>
              <w:t>-2.20</w:t>
            </w:r>
          </w:p>
        </w:tc>
        <w:tc>
          <w:tcPr>
            <w:tcW w:w="1362" w:type="dxa"/>
            <w:tcBorders>
              <w:top w:val="nil"/>
              <w:left w:val="nil"/>
              <w:bottom w:val="nil"/>
              <w:right w:val="single" w:sz="4" w:space="0" w:color="auto"/>
            </w:tcBorders>
            <w:noWrap/>
            <w:vAlign w:val="bottom"/>
          </w:tcPr>
          <w:p w14:paraId="0FF1E2E6" w14:textId="77777777" w:rsidR="005B159A" w:rsidRPr="00304CE2" w:rsidRDefault="005B159A" w:rsidP="00304CE2">
            <w:pPr>
              <w:rPr>
                <w:color w:val="000000"/>
                <w:lang w:val="en-US"/>
              </w:rPr>
            </w:pPr>
            <w:r w:rsidRPr="00304CE2">
              <w:rPr>
                <w:color w:val="000000"/>
                <w:lang w:val="en-US"/>
              </w:rPr>
              <w:t>0.028**</w:t>
            </w:r>
          </w:p>
        </w:tc>
        <w:tc>
          <w:tcPr>
            <w:tcW w:w="1291" w:type="dxa"/>
            <w:tcBorders>
              <w:top w:val="nil"/>
              <w:left w:val="single" w:sz="4" w:space="0" w:color="auto"/>
              <w:bottom w:val="nil"/>
              <w:right w:val="nil"/>
            </w:tcBorders>
            <w:noWrap/>
            <w:vAlign w:val="bottom"/>
          </w:tcPr>
          <w:p w14:paraId="4D9A3A64" w14:textId="77777777" w:rsidR="005B159A" w:rsidRPr="00304CE2" w:rsidRDefault="005B159A" w:rsidP="00304CE2">
            <w:pPr>
              <w:jc w:val="center"/>
              <w:rPr>
                <w:color w:val="000000"/>
                <w:lang w:val="en-US"/>
              </w:rPr>
            </w:pPr>
            <w:r w:rsidRPr="00304CE2">
              <w:rPr>
                <w:color w:val="000000"/>
                <w:lang w:val="en-US"/>
              </w:rPr>
              <w:t>-0.0124</w:t>
            </w:r>
          </w:p>
        </w:tc>
        <w:tc>
          <w:tcPr>
            <w:tcW w:w="851" w:type="dxa"/>
            <w:tcBorders>
              <w:top w:val="nil"/>
              <w:left w:val="nil"/>
              <w:bottom w:val="nil"/>
              <w:right w:val="nil"/>
            </w:tcBorders>
            <w:noWrap/>
            <w:vAlign w:val="bottom"/>
          </w:tcPr>
          <w:p w14:paraId="30BEE7F2" w14:textId="77777777" w:rsidR="005B159A" w:rsidRPr="00190F7C" w:rsidRDefault="005B159A" w:rsidP="00D338D8">
            <w:pPr>
              <w:jc w:val="right"/>
              <w:rPr>
                <w:color w:val="000000"/>
                <w:lang w:val="en-US"/>
              </w:rPr>
            </w:pPr>
            <w:r w:rsidRPr="00190F7C">
              <w:rPr>
                <w:color w:val="000000"/>
                <w:lang w:val="en-US"/>
              </w:rPr>
              <w:t>-1.00</w:t>
            </w:r>
          </w:p>
        </w:tc>
        <w:tc>
          <w:tcPr>
            <w:tcW w:w="1134" w:type="dxa"/>
            <w:tcBorders>
              <w:top w:val="nil"/>
              <w:left w:val="nil"/>
              <w:bottom w:val="nil"/>
              <w:right w:val="nil"/>
            </w:tcBorders>
            <w:noWrap/>
            <w:vAlign w:val="bottom"/>
          </w:tcPr>
          <w:p w14:paraId="26D4EBAF" w14:textId="77777777" w:rsidR="005B159A" w:rsidRPr="00190F7C" w:rsidRDefault="005B159A" w:rsidP="00D338D8">
            <w:pPr>
              <w:rPr>
                <w:color w:val="000000"/>
                <w:lang w:val="en-US"/>
              </w:rPr>
            </w:pPr>
            <w:r w:rsidRPr="00190F7C">
              <w:rPr>
                <w:color w:val="000000"/>
                <w:lang w:val="en-US"/>
              </w:rPr>
              <w:t>0.318</w:t>
            </w:r>
          </w:p>
        </w:tc>
      </w:tr>
      <w:tr w:rsidR="005B159A" w:rsidRPr="00190F7C" w14:paraId="2085B459" w14:textId="77777777" w:rsidTr="00795FC1">
        <w:trPr>
          <w:trHeight w:val="290"/>
        </w:trPr>
        <w:tc>
          <w:tcPr>
            <w:tcW w:w="1440" w:type="dxa"/>
            <w:tcBorders>
              <w:top w:val="nil"/>
              <w:left w:val="nil"/>
              <w:bottom w:val="nil"/>
              <w:right w:val="nil"/>
            </w:tcBorders>
            <w:noWrap/>
            <w:vAlign w:val="bottom"/>
          </w:tcPr>
          <w:p w14:paraId="44D56BD5" w14:textId="77777777" w:rsidR="005B159A" w:rsidRPr="00304CE2" w:rsidRDefault="005B159A" w:rsidP="00304CE2">
            <w:pPr>
              <w:rPr>
                <w:color w:val="000000"/>
                <w:lang w:val="en-US"/>
              </w:rPr>
            </w:pPr>
            <w:r w:rsidRPr="00304CE2">
              <w:rPr>
                <w:color w:val="000000"/>
                <w:lang w:val="en-US"/>
              </w:rPr>
              <w:t>_cons</w:t>
            </w:r>
          </w:p>
        </w:tc>
        <w:tc>
          <w:tcPr>
            <w:tcW w:w="1620" w:type="dxa"/>
            <w:tcBorders>
              <w:top w:val="nil"/>
              <w:left w:val="nil"/>
              <w:bottom w:val="nil"/>
              <w:right w:val="nil"/>
            </w:tcBorders>
            <w:noWrap/>
            <w:vAlign w:val="bottom"/>
          </w:tcPr>
          <w:p w14:paraId="4A96A0B2" w14:textId="77777777" w:rsidR="005B159A" w:rsidRPr="00304CE2" w:rsidRDefault="005B159A" w:rsidP="00304CE2">
            <w:pPr>
              <w:jc w:val="center"/>
              <w:rPr>
                <w:color w:val="000000"/>
                <w:lang w:val="en-US"/>
              </w:rPr>
            </w:pPr>
            <w:r w:rsidRPr="00304CE2">
              <w:rPr>
                <w:color w:val="000000"/>
                <w:lang w:val="en-US"/>
              </w:rPr>
              <w:t>0.2009</w:t>
            </w:r>
          </w:p>
        </w:tc>
        <w:tc>
          <w:tcPr>
            <w:tcW w:w="666" w:type="dxa"/>
            <w:tcBorders>
              <w:top w:val="nil"/>
              <w:left w:val="nil"/>
              <w:bottom w:val="nil"/>
              <w:right w:val="nil"/>
            </w:tcBorders>
            <w:noWrap/>
            <w:vAlign w:val="bottom"/>
          </w:tcPr>
          <w:p w14:paraId="0F9FB019" w14:textId="77777777" w:rsidR="005B159A" w:rsidRPr="00304CE2" w:rsidRDefault="005B159A" w:rsidP="00304CE2">
            <w:pPr>
              <w:jc w:val="right"/>
              <w:rPr>
                <w:color w:val="000000"/>
                <w:lang w:val="en-US"/>
              </w:rPr>
            </w:pPr>
            <w:r w:rsidRPr="00304CE2">
              <w:rPr>
                <w:color w:val="000000"/>
                <w:lang w:val="en-US"/>
              </w:rPr>
              <w:t>5.41</w:t>
            </w:r>
          </w:p>
        </w:tc>
        <w:tc>
          <w:tcPr>
            <w:tcW w:w="1362" w:type="dxa"/>
            <w:tcBorders>
              <w:top w:val="nil"/>
              <w:left w:val="nil"/>
              <w:bottom w:val="nil"/>
              <w:right w:val="single" w:sz="4" w:space="0" w:color="auto"/>
            </w:tcBorders>
            <w:noWrap/>
            <w:vAlign w:val="bottom"/>
          </w:tcPr>
          <w:p w14:paraId="7C3363FA" w14:textId="77777777" w:rsidR="005B159A" w:rsidRPr="00304CE2" w:rsidRDefault="005B159A" w:rsidP="00304CE2">
            <w:pPr>
              <w:rPr>
                <w:color w:val="000000"/>
                <w:lang w:val="en-US"/>
              </w:rPr>
            </w:pPr>
            <w:r w:rsidRPr="00304CE2">
              <w:rPr>
                <w:color w:val="000000"/>
                <w:lang w:val="en-US"/>
              </w:rPr>
              <w:t>0.000***</w:t>
            </w:r>
          </w:p>
        </w:tc>
        <w:tc>
          <w:tcPr>
            <w:tcW w:w="1291" w:type="dxa"/>
            <w:tcBorders>
              <w:top w:val="nil"/>
              <w:left w:val="single" w:sz="4" w:space="0" w:color="auto"/>
              <w:bottom w:val="nil"/>
              <w:right w:val="nil"/>
            </w:tcBorders>
            <w:noWrap/>
            <w:vAlign w:val="bottom"/>
          </w:tcPr>
          <w:p w14:paraId="5A8F772A" w14:textId="77777777" w:rsidR="005B159A" w:rsidRPr="00304CE2" w:rsidRDefault="005B159A" w:rsidP="00304CE2">
            <w:pPr>
              <w:jc w:val="center"/>
              <w:rPr>
                <w:color w:val="000000"/>
                <w:lang w:val="en-US"/>
              </w:rPr>
            </w:pPr>
            <w:r w:rsidRPr="00304CE2">
              <w:rPr>
                <w:color w:val="000000"/>
                <w:lang w:val="en-US"/>
              </w:rPr>
              <w:t>0.2009</w:t>
            </w:r>
          </w:p>
        </w:tc>
        <w:tc>
          <w:tcPr>
            <w:tcW w:w="851" w:type="dxa"/>
            <w:tcBorders>
              <w:top w:val="nil"/>
              <w:left w:val="nil"/>
              <w:bottom w:val="nil"/>
              <w:right w:val="nil"/>
            </w:tcBorders>
            <w:noWrap/>
            <w:vAlign w:val="bottom"/>
          </w:tcPr>
          <w:p w14:paraId="4CDB5E26" w14:textId="77777777" w:rsidR="005B159A" w:rsidRPr="00190F7C" w:rsidRDefault="005B159A" w:rsidP="00D338D8">
            <w:pPr>
              <w:jc w:val="right"/>
              <w:rPr>
                <w:color w:val="000000"/>
                <w:lang w:val="en-US"/>
              </w:rPr>
            </w:pPr>
            <w:r w:rsidRPr="00190F7C">
              <w:rPr>
                <w:color w:val="000000"/>
                <w:lang w:val="en-US"/>
              </w:rPr>
              <w:t>6.49</w:t>
            </w:r>
          </w:p>
        </w:tc>
        <w:tc>
          <w:tcPr>
            <w:tcW w:w="1134" w:type="dxa"/>
            <w:tcBorders>
              <w:top w:val="nil"/>
              <w:left w:val="nil"/>
              <w:bottom w:val="nil"/>
              <w:right w:val="nil"/>
            </w:tcBorders>
            <w:noWrap/>
            <w:vAlign w:val="bottom"/>
          </w:tcPr>
          <w:p w14:paraId="16B7B41F" w14:textId="77777777" w:rsidR="005B159A" w:rsidRPr="00190F7C" w:rsidRDefault="005B159A" w:rsidP="00D338D8">
            <w:pPr>
              <w:rPr>
                <w:color w:val="000000"/>
                <w:lang w:val="en-US"/>
              </w:rPr>
            </w:pPr>
            <w:r w:rsidRPr="00190F7C">
              <w:rPr>
                <w:color w:val="000000"/>
                <w:lang w:val="en-US"/>
              </w:rPr>
              <w:t>0.000***</w:t>
            </w:r>
          </w:p>
        </w:tc>
      </w:tr>
      <w:tr w:rsidR="005B159A" w:rsidRPr="00190F7C" w14:paraId="14C2B623" w14:textId="77777777" w:rsidTr="00795FC1">
        <w:trPr>
          <w:trHeight w:val="290"/>
        </w:trPr>
        <w:tc>
          <w:tcPr>
            <w:tcW w:w="1440" w:type="dxa"/>
            <w:tcBorders>
              <w:top w:val="nil"/>
              <w:left w:val="nil"/>
              <w:bottom w:val="nil"/>
              <w:right w:val="nil"/>
            </w:tcBorders>
            <w:noWrap/>
            <w:vAlign w:val="bottom"/>
          </w:tcPr>
          <w:p w14:paraId="44647ED1" w14:textId="77777777" w:rsidR="005B159A" w:rsidRPr="00304CE2" w:rsidRDefault="005B159A" w:rsidP="00304CE2">
            <w:pPr>
              <w:rPr>
                <w:color w:val="000000"/>
                <w:lang w:val="en-US"/>
              </w:rPr>
            </w:pPr>
            <w:r w:rsidRPr="00304CE2">
              <w:rPr>
                <w:color w:val="000000"/>
                <w:lang w:val="en-US"/>
              </w:rPr>
              <w:t>Obs.</w:t>
            </w:r>
          </w:p>
        </w:tc>
        <w:tc>
          <w:tcPr>
            <w:tcW w:w="1620" w:type="dxa"/>
            <w:tcBorders>
              <w:top w:val="nil"/>
              <w:left w:val="nil"/>
              <w:bottom w:val="nil"/>
              <w:right w:val="nil"/>
            </w:tcBorders>
            <w:noWrap/>
            <w:vAlign w:val="bottom"/>
          </w:tcPr>
          <w:p w14:paraId="5E61F283" w14:textId="77777777" w:rsidR="005B159A" w:rsidRPr="00304CE2" w:rsidRDefault="005B159A" w:rsidP="00304CE2">
            <w:pPr>
              <w:jc w:val="center"/>
              <w:rPr>
                <w:color w:val="000000"/>
                <w:lang w:val="en-US"/>
              </w:rPr>
            </w:pPr>
            <w:r w:rsidRPr="00304CE2">
              <w:rPr>
                <w:color w:val="000000"/>
                <w:lang w:val="en-US"/>
              </w:rPr>
              <w:t>300</w:t>
            </w:r>
          </w:p>
        </w:tc>
        <w:tc>
          <w:tcPr>
            <w:tcW w:w="666" w:type="dxa"/>
            <w:tcBorders>
              <w:top w:val="nil"/>
              <w:left w:val="nil"/>
              <w:bottom w:val="nil"/>
              <w:right w:val="nil"/>
            </w:tcBorders>
            <w:noWrap/>
            <w:vAlign w:val="bottom"/>
          </w:tcPr>
          <w:p w14:paraId="6EA17C94" w14:textId="77777777" w:rsidR="005B159A" w:rsidRPr="00304CE2" w:rsidRDefault="005B159A" w:rsidP="00304CE2">
            <w:pPr>
              <w:jc w:val="right"/>
              <w:rPr>
                <w:lang w:val="en-US"/>
              </w:rPr>
            </w:pPr>
          </w:p>
        </w:tc>
        <w:tc>
          <w:tcPr>
            <w:tcW w:w="1362" w:type="dxa"/>
            <w:tcBorders>
              <w:top w:val="nil"/>
              <w:left w:val="nil"/>
              <w:bottom w:val="nil"/>
              <w:right w:val="single" w:sz="4" w:space="0" w:color="auto"/>
            </w:tcBorders>
            <w:noWrap/>
            <w:vAlign w:val="bottom"/>
          </w:tcPr>
          <w:p w14:paraId="443536AC" w14:textId="77777777" w:rsidR="005B159A" w:rsidRPr="00304CE2" w:rsidRDefault="005B159A" w:rsidP="00304CE2">
            <w:pPr>
              <w:jc w:val="center"/>
              <w:rPr>
                <w:lang w:val="en-US"/>
              </w:rPr>
            </w:pPr>
          </w:p>
        </w:tc>
        <w:tc>
          <w:tcPr>
            <w:tcW w:w="1291" w:type="dxa"/>
            <w:tcBorders>
              <w:top w:val="nil"/>
              <w:left w:val="single" w:sz="4" w:space="0" w:color="auto"/>
              <w:bottom w:val="nil"/>
              <w:right w:val="nil"/>
            </w:tcBorders>
            <w:noWrap/>
            <w:vAlign w:val="bottom"/>
          </w:tcPr>
          <w:p w14:paraId="487F3688" w14:textId="77777777" w:rsidR="005B159A" w:rsidRPr="00304CE2" w:rsidRDefault="005B159A" w:rsidP="00304CE2">
            <w:pPr>
              <w:jc w:val="center"/>
              <w:rPr>
                <w:color w:val="000000"/>
                <w:lang w:val="en-US"/>
              </w:rPr>
            </w:pPr>
            <w:r w:rsidRPr="00304CE2">
              <w:rPr>
                <w:color w:val="000000"/>
                <w:lang w:val="en-US"/>
              </w:rPr>
              <w:t>300</w:t>
            </w:r>
          </w:p>
        </w:tc>
        <w:tc>
          <w:tcPr>
            <w:tcW w:w="851" w:type="dxa"/>
            <w:tcBorders>
              <w:top w:val="nil"/>
              <w:left w:val="nil"/>
              <w:bottom w:val="nil"/>
              <w:right w:val="nil"/>
            </w:tcBorders>
            <w:noWrap/>
            <w:vAlign w:val="bottom"/>
          </w:tcPr>
          <w:p w14:paraId="535BD546" w14:textId="77777777" w:rsidR="005B159A" w:rsidRPr="00190F7C" w:rsidRDefault="005B159A" w:rsidP="00D338D8">
            <w:pPr>
              <w:jc w:val="center"/>
              <w:rPr>
                <w:lang w:val="en-US"/>
              </w:rPr>
            </w:pPr>
          </w:p>
        </w:tc>
        <w:tc>
          <w:tcPr>
            <w:tcW w:w="1134" w:type="dxa"/>
            <w:tcBorders>
              <w:top w:val="nil"/>
              <w:left w:val="nil"/>
              <w:bottom w:val="nil"/>
              <w:right w:val="nil"/>
            </w:tcBorders>
            <w:noWrap/>
            <w:vAlign w:val="bottom"/>
          </w:tcPr>
          <w:p w14:paraId="0511BE6B" w14:textId="77777777" w:rsidR="005B159A" w:rsidRPr="00190F7C" w:rsidRDefault="005B159A" w:rsidP="00D338D8">
            <w:pPr>
              <w:jc w:val="center"/>
              <w:rPr>
                <w:lang w:val="en-US"/>
              </w:rPr>
            </w:pPr>
          </w:p>
        </w:tc>
      </w:tr>
      <w:tr w:rsidR="005B159A" w:rsidRPr="00190F7C" w14:paraId="2BED9CB9" w14:textId="77777777" w:rsidTr="00795FC1">
        <w:trPr>
          <w:trHeight w:val="290"/>
        </w:trPr>
        <w:tc>
          <w:tcPr>
            <w:tcW w:w="1440" w:type="dxa"/>
            <w:tcBorders>
              <w:top w:val="nil"/>
              <w:left w:val="nil"/>
              <w:bottom w:val="nil"/>
              <w:right w:val="nil"/>
            </w:tcBorders>
            <w:noWrap/>
            <w:vAlign w:val="bottom"/>
          </w:tcPr>
          <w:p w14:paraId="0CD21716" w14:textId="77777777" w:rsidR="005B159A" w:rsidRPr="00304CE2" w:rsidRDefault="005B159A" w:rsidP="00304CE2">
            <w:pPr>
              <w:rPr>
                <w:color w:val="000000"/>
                <w:lang w:val="en-US"/>
              </w:rPr>
            </w:pPr>
            <w:r w:rsidRPr="00304CE2">
              <w:rPr>
                <w:color w:val="000000"/>
                <w:lang w:val="en-US"/>
              </w:rPr>
              <w:t>R-square</w:t>
            </w:r>
          </w:p>
        </w:tc>
        <w:tc>
          <w:tcPr>
            <w:tcW w:w="1620" w:type="dxa"/>
            <w:tcBorders>
              <w:top w:val="nil"/>
              <w:left w:val="nil"/>
              <w:bottom w:val="nil"/>
              <w:right w:val="nil"/>
            </w:tcBorders>
            <w:noWrap/>
            <w:vAlign w:val="bottom"/>
          </w:tcPr>
          <w:p w14:paraId="72CC6D92" w14:textId="77777777" w:rsidR="005B159A" w:rsidRPr="00304CE2" w:rsidRDefault="005B159A" w:rsidP="00304CE2">
            <w:pPr>
              <w:jc w:val="center"/>
              <w:rPr>
                <w:color w:val="000000"/>
                <w:lang w:val="en-US"/>
              </w:rPr>
            </w:pPr>
            <w:r w:rsidRPr="00304CE2">
              <w:rPr>
                <w:color w:val="000000"/>
                <w:lang w:val="en-US"/>
              </w:rPr>
              <w:t>0.3916</w:t>
            </w:r>
          </w:p>
        </w:tc>
        <w:tc>
          <w:tcPr>
            <w:tcW w:w="666" w:type="dxa"/>
            <w:tcBorders>
              <w:top w:val="nil"/>
              <w:left w:val="nil"/>
              <w:bottom w:val="nil"/>
              <w:right w:val="nil"/>
            </w:tcBorders>
            <w:noWrap/>
            <w:vAlign w:val="bottom"/>
          </w:tcPr>
          <w:p w14:paraId="27947E4A" w14:textId="77777777" w:rsidR="005B159A" w:rsidRPr="00304CE2" w:rsidRDefault="005B159A" w:rsidP="00304CE2">
            <w:pPr>
              <w:jc w:val="right"/>
              <w:rPr>
                <w:lang w:val="en-US"/>
              </w:rPr>
            </w:pPr>
          </w:p>
        </w:tc>
        <w:tc>
          <w:tcPr>
            <w:tcW w:w="1362" w:type="dxa"/>
            <w:tcBorders>
              <w:top w:val="nil"/>
              <w:left w:val="nil"/>
              <w:bottom w:val="nil"/>
              <w:right w:val="single" w:sz="4" w:space="0" w:color="auto"/>
            </w:tcBorders>
            <w:noWrap/>
            <w:vAlign w:val="bottom"/>
          </w:tcPr>
          <w:p w14:paraId="06BDA74A" w14:textId="77777777" w:rsidR="005B159A" w:rsidRPr="00304CE2" w:rsidRDefault="005B159A" w:rsidP="00304CE2">
            <w:pPr>
              <w:jc w:val="center"/>
              <w:rPr>
                <w:lang w:val="en-US"/>
              </w:rPr>
            </w:pPr>
          </w:p>
        </w:tc>
        <w:tc>
          <w:tcPr>
            <w:tcW w:w="1291" w:type="dxa"/>
            <w:tcBorders>
              <w:top w:val="nil"/>
              <w:left w:val="single" w:sz="4" w:space="0" w:color="auto"/>
              <w:bottom w:val="nil"/>
              <w:right w:val="nil"/>
            </w:tcBorders>
            <w:noWrap/>
            <w:vAlign w:val="bottom"/>
          </w:tcPr>
          <w:p w14:paraId="34C78385" w14:textId="77777777" w:rsidR="005B159A" w:rsidRPr="00304CE2" w:rsidRDefault="005B159A" w:rsidP="00304CE2">
            <w:pPr>
              <w:jc w:val="center"/>
              <w:rPr>
                <w:lang w:val="en-US"/>
              </w:rPr>
            </w:pPr>
            <w:r w:rsidRPr="00304CE2">
              <w:rPr>
                <w:lang w:val="en-US"/>
              </w:rPr>
              <w:t>-</w:t>
            </w:r>
          </w:p>
        </w:tc>
        <w:tc>
          <w:tcPr>
            <w:tcW w:w="851" w:type="dxa"/>
            <w:tcBorders>
              <w:top w:val="nil"/>
              <w:left w:val="nil"/>
              <w:bottom w:val="nil"/>
              <w:right w:val="nil"/>
            </w:tcBorders>
            <w:noWrap/>
            <w:vAlign w:val="bottom"/>
          </w:tcPr>
          <w:p w14:paraId="650D63A6" w14:textId="77777777" w:rsidR="005B159A" w:rsidRPr="00190F7C" w:rsidRDefault="005B159A" w:rsidP="00D338D8">
            <w:pPr>
              <w:jc w:val="center"/>
              <w:rPr>
                <w:lang w:val="en-US"/>
              </w:rPr>
            </w:pPr>
          </w:p>
        </w:tc>
        <w:tc>
          <w:tcPr>
            <w:tcW w:w="1134" w:type="dxa"/>
            <w:tcBorders>
              <w:top w:val="nil"/>
              <w:left w:val="nil"/>
              <w:bottom w:val="nil"/>
              <w:right w:val="nil"/>
            </w:tcBorders>
            <w:noWrap/>
            <w:vAlign w:val="bottom"/>
          </w:tcPr>
          <w:p w14:paraId="4DB4CB71" w14:textId="77777777" w:rsidR="005B159A" w:rsidRPr="00190F7C" w:rsidRDefault="005B159A" w:rsidP="00D338D8">
            <w:pPr>
              <w:rPr>
                <w:lang w:val="en-US"/>
              </w:rPr>
            </w:pPr>
          </w:p>
        </w:tc>
      </w:tr>
      <w:tr w:rsidR="005B159A" w:rsidRPr="00190F7C" w14:paraId="483B269C" w14:textId="77777777" w:rsidTr="00795FC1">
        <w:trPr>
          <w:trHeight w:val="290"/>
        </w:trPr>
        <w:tc>
          <w:tcPr>
            <w:tcW w:w="1440" w:type="dxa"/>
            <w:tcBorders>
              <w:top w:val="nil"/>
              <w:left w:val="nil"/>
              <w:bottom w:val="nil"/>
              <w:right w:val="nil"/>
            </w:tcBorders>
            <w:noWrap/>
            <w:vAlign w:val="bottom"/>
          </w:tcPr>
          <w:p w14:paraId="55A2238C" w14:textId="77777777" w:rsidR="005B159A" w:rsidRPr="00304CE2" w:rsidRDefault="005B159A" w:rsidP="00304CE2">
            <w:pPr>
              <w:rPr>
                <w:color w:val="000000"/>
                <w:lang w:val="en-US"/>
              </w:rPr>
            </w:pPr>
            <w:r w:rsidRPr="00304CE2">
              <w:rPr>
                <w:color w:val="000000"/>
                <w:lang w:val="en-US"/>
              </w:rPr>
              <w:t>Wald Chi</w:t>
            </w:r>
            <w:r w:rsidRPr="00304CE2">
              <w:rPr>
                <w:color w:val="000000"/>
                <w:vertAlign w:val="superscript"/>
                <w:lang w:val="en-US"/>
              </w:rPr>
              <w:t>2</w:t>
            </w:r>
          </w:p>
        </w:tc>
        <w:tc>
          <w:tcPr>
            <w:tcW w:w="1620" w:type="dxa"/>
            <w:tcBorders>
              <w:top w:val="nil"/>
              <w:left w:val="nil"/>
              <w:bottom w:val="nil"/>
              <w:right w:val="nil"/>
            </w:tcBorders>
            <w:noWrap/>
            <w:vAlign w:val="bottom"/>
          </w:tcPr>
          <w:p w14:paraId="483A907E" w14:textId="77777777" w:rsidR="005B159A" w:rsidRPr="00304CE2" w:rsidRDefault="005B159A" w:rsidP="00304CE2">
            <w:pPr>
              <w:jc w:val="center"/>
              <w:rPr>
                <w:color w:val="000000"/>
                <w:lang w:val="en-US"/>
              </w:rPr>
            </w:pPr>
            <w:r w:rsidRPr="00304CE2">
              <w:rPr>
                <w:color w:val="000000"/>
                <w:lang w:val="en-US"/>
              </w:rPr>
              <w:t>568.75</w:t>
            </w:r>
          </w:p>
        </w:tc>
        <w:tc>
          <w:tcPr>
            <w:tcW w:w="666" w:type="dxa"/>
            <w:tcBorders>
              <w:top w:val="nil"/>
              <w:left w:val="nil"/>
              <w:bottom w:val="nil"/>
              <w:right w:val="nil"/>
            </w:tcBorders>
            <w:noWrap/>
            <w:vAlign w:val="bottom"/>
          </w:tcPr>
          <w:p w14:paraId="09C61B6D" w14:textId="77777777" w:rsidR="005B159A" w:rsidRPr="00304CE2" w:rsidRDefault="005B159A" w:rsidP="00304CE2">
            <w:pPr>
              <w:jc w:val="center"/>
              <w:rPr>
                <w:lang w:val="en-US"/>
              </w:rPr>
            </w:pPr>
          </w:p>
        </w:tc>
        <w:tc>
          <w:tcPr>
            <w:tcW w:w="1362" w:type="dxa"/>
            <w:tcBorders>
              <w:top w:val="nil"/>
              <w:left w:val="nil"/>
              <w:bottom w:val="nil"/>
              <w:right w:val="single" w:sz="4" w:space="0" w:color="auto"/>
            </w:tcBorders>
            <w:noWrap/>
            <w:vAlign w:val="bottom"/>
          </w:tcPr>
          <w:p w14:paraId="1016DC6C" w14:textId="77777777" w:rsidR="005B159A" w:rsidRPr="00304CE2" w:rsidRDefault="005B159A" w:rsidP="00304CE2">
            <w:pPr>
              <w:jc w:val="center"/>
              <w:rPr>
                <w:lang w:val="en-US"/>
              </w:rPr>
            </w:pPr>
          </w:p>
        </w:tc>
        <w:tc>
          <w:tcPr>
            <w:tcW w:w="1291" w:type="dxa"/>
            <w:tcBorders>
              <w:top w:val="nil"/>
              <w:left w:val="single" w:sz="4" w:space="0" w:color="auto"/>
              <w:bottom w:val="nil"/>
              <w:right w:val="nil"/>
            </w:tcBorders>
            <w:noWrap/>
            <w:vAlign w:val="bottom"/>
          </w:tcPr>
          <w:p w14:paraId="5812DB12" w14:textId="77777777" w:rsidR="005B159A" w:rsidRPr="00304CE2" w:rsidRDefault="005B159A" w:rsidP="00304CE2">
            <w:pPr>
              <w:jc w:val="center"/>
              <w:rPr>
                <w:color w:val="000000"/>
                <w:lang w:val="en-US"/>
              </w:rPr>
            </w:pPr>
            <w:r w:rsidRPr="00304CE2">
              <w:rPr>
                <w:color w:val="000000"/>
                <w:lang w:val="en-US"/>
              </w:rPr>
              <w:t>193.14</w:t>
            </w:r>
          </w:p>
        </w:tc>
        <w:tc>
          <w:tcPr>
            <w:tcW w:w="851" w:type="dxa"/>
            <w:tcBorders>
              <w:top w:val="nil"/>
              <w:left w:val="nil"/>
              <w:bottom w:val="nil"/>
              <w:right w:val="nil"/>
            </w:tcBorders>
            <w:noWrap/>
            <w:vAlign w:val="bottom"/>
          </w:tcPr>
          <w:p w14:paraId="666B3873" w14:textId="77777777" w:rsidR="005B159A" w:rsidRPr="00190F7C" w:rsidRDefault="005B159A" w:rsidP="00D338D8">
            <w:pPr>
              <w:jc w:val="center"/>
              <w:rPr>
                <w:lang w:val="en-US"/>
              </w:rPr>
            </w:pPr>
          </w:p>
        </w:tc>
        <w:tc>
          <w:tcPr>
            <w:tcW w:w="1134" w:type="dxa"/>
            <w:tcBorders>
              <w:top w:val="nil"/>
              <w:left w:val="nil"/>
              <w:bottom w:val="nil"/>
              <w:right w:val="nil"/>
            </w:tcBorders>
            <w:noWrap/>
            <w:vAlign w:val="bottom"/>
          </w:tcPr>
          <w:p w14:paraId="3A6177BB" w14:textId="77777777" w:rsidR="005B159A" w:rsidRPr="00190F7C" w:rsidRDefault="005B159A" w:rsidP="00D338D8">
            <w:pPr>
              <w:jc w:val="center"/>
              <w:rPr>
                <w:lang w:val="en-US"/>
              </w:rPr>
            </w:pPr>
          </w:p>
        </w:tc>
      </w:tr>
      <w:tr w:rsidR="005B159A" w:rsidRPr="00190F7C" w14:paraId="0BF97F02" w14:textId="77777777" w:rsidTr="00795FC1">
        <w:trPr>
          <w:trHeight w:val="290"/>
        </w:trPr>
        <w:tc>
          <w:tcPr>
            <w:tcW w:w="1440" w:type="dxa"/>
            <w:tcBorders>
              <w:top w:val="nil"/>
              <w:left w:val="nil"/>
              <w:right w:val="nil"/>
            </w:tcBorders>
            <w:noWrap/>
            <w:vAlign w:val="bottom"/>
          </w:tcPr>
          <w:p w14:paraId="20451B2C" w14:textId="77777777" w:rsidR="005B159A" w:rsidRPr="00304CE2" w:rsidRDefault="005B159A" w:rsidP="00304CE2">
            <w:pPr>
              <w:rPr>
                <w:color w:val="000000"/>
                <w:lang w:val="en-US"/>
              </w:rPr>
            </w:pPr>
            <w:r w:rsidRPr="00304CE2">
              <w:rPr>
                <w:color w:val="000000"/>
                <w:lang w:val="en-US"/>
              </w:rPr>
              <w:t>Prob&gt;Chi</w:t>
            </w:r>
            <w:r w:rsidRPr="00304CE2">
              <w:rPr>
                <w:color w:val="000000"/>
                <w:vertAlign w:val="superscript"/>
                <w:lang w:val="en-US"/>
              </w:rPr>
              <w:t>2</w:t>
            </w:r>
          </w:p>
        </w:tc>
        <w:tc>
          <w:tcPr>
            <w:tcW w:w="1620" w:type="dxa"/>
            <w:tcBorders>
              <w:top w:val="nil"/>
              <w:left w:val="nil"/>
              <w:right w:val="nil"/>
            </w:tcBorders>
            <w:noWrap/>
            <w:vAlign w:val="bottom"/>
          </w:tcPr>
          <w:p w14:paraId="16301B10" w14:textId="77777777" w:rsidR="005B159A" w:rsidRPr="00304CE2" w:rsidRDefault="005B159A" w:rsidP="00304CE2">
            <w:pPr>
              <w:jc w:val="center"/>
              <w:rPr>
                <w:color w:val="000000"/>
                <w:lang w:val="en-US"/>
              </w:rPr>
            </w:pPr>
            <w:r w:rsidRPr="00304CE2">
              <w:rPr>
                <w:color w:val="000000"/>
                <w:lang w:val="en-US"/>
              </w:rPr>
              <w:t>0.000</w:t>
            </w:r>
          </w:p>
        </w:tc>
        <w:tc>
          <w:tcPr>
            <w:tcW w:w="666" w:type="dxa"/>
            <w:tcBorders>
              <w:top w:val="nil"/>
              <w:left w:val="nil"/>
              <w:right w:val="nil"/>
            </w:tcBorders>
            <w:noWrap/>
            <w:vAlign w:val="bottom"/>
          </w:tcPr>
          <w:p w14:paraId="4E8AF181" w14:textId="77777777" w:rsidR="005B159A" w:rsidRPr="00304CE2" w:rsidRDefault="005B159A" w:rsidP="00304CE2">
            <w:pPr>
              <w:jc w:val="center"/>
              <w:rPr>
                <w:lang w:val="en-US"/>
              </w:rPr>
            </w:pPr>
          </w:p>
        </w:tc>
        <w:tc>
          <w:tcPr>
            <w:tcW w:w="1362" w:type="dxa"/>
            <w:tcBorders>
              <w:top w:val="nil"/>
              <w:left w:val="nil"/>
              <w:right w:val="single" w:sz="4" w:space="0" w:color="auto"/>
            </w:tcBorders>
            <w:noWrap/>
            <w:vAlign w:val="bottom"/>
          </w:tcPr>
          <w:p w14:paraId="435FC0A6" w14:textId="77777777" w:rsidR="005B159A" w:rsidRPr="00304CE2" w:rsidRDefault="005B159A" w:rsidP="00304CE2">
            <w:pPr>
              <w:jc w:val="center"/>
              <w:rPr>
                <w:lang w:val="en-US"/>
              </w:rPr>
            </w:pPr>
          </w:p>
        </w:tc>
        <w:tc>
          <w:tcPr>
            <w:tcW w:w="1291" w:type="dxa"/>
            <w:tcBorders>
              <w:top w:val="nil"/>
              <w:left w:val="single" w:sz="4" w:space="0" w:color="auto"/>
              <w:right w:val="nil"/>
            </w:tcBorders>
            <w:noWrap/>
            <w:vAlign w:val="bottom"/>
          </w:tcPr>
          <w:p w14:paraId="4B6E7187" w14:textId="77777777" w:rsidR="005B159A" w:rsidRPr="00304CE2" w:rsidRDefault="005B159A" w:rsidP="00304CE2">
            <w:pPr>
              <w:jc w:val="center"/>
              <w:rPr>
                <w:color w:val="000000"/>
                <w:lang w:val="en-US"/>
              </w:rPr>
            </w:pPr>
            <w:r w:rsidRPr="00304CE2">
              <w:rPr>
                <w:color w:val="000000"/>
                <w:lang w:val="en-US"/>
              </w:rPr>
              <w:t>0.000</w:t>
            </w:r>
          </w:p>
        </w:tc>
        <w:tc>
          <w:tcPr>
            <w:tcW w:w="851" w:type="dxa"/>
            <w:tcBorders>
              <w:top w:val="nil"/>
              <w:left w:val="nil"/>
              <w:right w:val="nil"/>
            </w:tcBorders>
            <w:noWrap/>
            <w:vAlign w:val="bottom"/>
          </w:tcPr>
          <w:p w14:paraId="67061DFC" w14:textId="77777777" w:rsidR="005B159A" w:rsidRPr="00190F7C" w:rsidRDefault="005B159A" w:rsidP="00D338D8">
            <w:pPr>
              <w:jc w:val="center"/>
              <w:rPr>
                <w:lang w:val="en-US"/>
              </w:rPr>
            </w:pPr>
          </w:p>
        </w:tc>
        <w:tc>
          <w:tcPr>
            <w:tcW w:w="1134" w:type="dxa"/>
            <w:tcBorders>
              <w:top w:val="nil"/>
              <w:left w:val="nil"/>
              <w:right w:val="nil"/>
            </w:tcBorders>
            <w:noWrap/>
            <w:vAlign w:val="bottom"/>
          </w:tcPr>
          <w:p w14:paraId="70B9337F" w14:textId="77777777" w:rsidR="005B159A" w:rsidRPr="00190F7C" w:rsidRDefault="005B159A" w:rsidP="00D338D8">
            <w:pPr>
              <w:jc w:val="center"/>
              <w:rPr>
                <w:lang w:val="en-US"/>
              </w:rPr>
            </w:pPr>
          </w:p>
        </w:tc>
      </w:tr>
      <w:tr w:rsidR="005B159A" w:rsidRPr="00190F7C" w14:paraId="5F68B906" w14:textId="77777777" w:rsidTr="00795FC1">
        <w:trPr>
          <w:trHeight w:val="290"/>
        </w:trPr>
        <w:tc>
          <w:tcPr>
            <w:tcW w:w="1440" w:type="dxa"/>
            <w:tcBorders>
              <w:top w:val="nil"/>
              <w:left w:val="nil"/>
              <w:bottom w:val="single" w:sz="4" w:space="0" w:color="auto"/>
              <w:right w:val="nil"/>
            </w:tcBorders>
            <w:noWrap/>
            <w:vAlign w:val="bottom"/>
          </w:tcPr>
          <w:p w14:paraId="7D8A2A8B" w14:textId="77777777" w:rsidR="005B159A" w:rsidRPr="00304CE2" w:rsidRDefault="005B159A" w:rsidP="00304CE2">
            <w:pPr>
              <w:rPr>
                <w:color w:val="000000"/>
                <w:lang w:val="en-US"/>
              </w:rPr>
            </w:pPr>
            <w:r w:rsidRPr="00304CE2">
              <w:rPr>
                <w:color w:val="000000"/>
                <w:lang w:val="en-US"/>
              </w:rPr>
              <w:t>Year effect</w:t>
            </w:r>
          </w:p>
        </w:tc>
        <w:tc>
          <w:tcPr>
            <w:tcW w:w="1620" w:type="dxa"/>
            <w:tcBorders>
              <w:top w:val="nil"/>
              <w:left w:val="nil"/>
              <w:bottom w:val="single" w:sz="4" w:space="0" w:color="auto"/>
              <w:right w:val="nil"/>
            </w:tcBorders>
            <w:noWrap/>
            <w:vAlign w:val="bottom"/>
          </w:tcPr>
          <w:p w14:paraId="388F06E4" w14:textId="77777777" w:rsidR="005B159A" w:rsidRPr="00304CE2" w:rsidRDefault="005B159A" w:rsidP="00304CE2">
            <w:pPr>
              <w:jc w:val="center"/>
              <w:rPr>
                <w:color w:val="000000"/>
                <w:lang w:val="en-US"/>
              </w:rPr>
            </w:pPr>
            <w:r w:rsidRPr="00304CE2">
              <w:rPr>
                <w:color w:val="000000"/>
                <w:lang w:val="en-US"/>
              </w:rPr>
              <w:t>Yes</w:t>
            </w:r>
          </w:p>
        </w:tc>
        <w:tc>
          <w:tcPr>
            <w:tcW w:w="666" w:type="dxa"/>
            <w:tcBorders>
              <w:top w:val="nil"/>
              <w:left w:val="nil"/>
              <w:bottom w:val="single" w:sz="4" w:space="0" w:color="auto"/>
              <w:right w:val="nil"/>
            </w:tcBorders>
            <w:noWrap/>
            <w:vAlign w:val="bottom"/>
          </w:tcPr>
          <w:p w14:paraId="62081DFC" w14:textId="77777777" w:rsidR="005B159A" w:rsidRPr="00304CE2" w:rsidRDefault="005B159A" w:rsidP="00304CE2">
            <w:pPr>
              <w:jc w:val="center"/>
              <w:rPr>
                <w:lang w:val="en-US"/>
              </w:rPr>
            </w:pPr>
          </w:p>
        </w:tc>
        <w:tc>
          <w:tcPr>
            <w:tcW w:w="1362" w:type="dxa"/>
            <w:tcBorders>
              <w:top w:val="nil"/>
              <w:left w:val="nil"/>
              <w:bottom w:val="single" w:sz="4" w:space="0" w:color="auto"/>
              <w:right w:val="single" w:sz="4" w:space="0" w:color="auto"/>
            </w:tcBorders>
            <w:noWrap/>
            <w:vAlign w:val="bottom"/>
          </w:tcPr>
          <w:p w14:paraId="6C733F7C" w14:textId="77777777" w:rsidR="005B159A" w:rsidRPr="00304CE2" w:rsidRDefault="005B159A" w:rsidP="00304CE2">
            <w:pPr>
              <w:jc w:val="center"/>
              <w:rPr>
                <w:lang w:val="en-US"/>
              </w:rPr>
            </w:pPr>
          </w:p>
        </w:tc>
        <w:tc>
          <w:tcPr>
            <w:tcW w:w="1291" w:type="dxa"/>
            <w:tcBorders>
              <w:top w:val="nil"/>
              <w:left w:val="single" w:sz="4" w:space="0" w:color="auto"/>
              <w:bottom w:val="single" w:sz="4" w:space="0" w:color="auto"/>
              <w:right w:val="nil"/>
            </w:tcBorders>
            <w:noWrap/>
            <w:vAlign w:val="bottom"/>
          </w:tcPr>
          <w:p w14:paraId="1C576A51" w14:textId="77777777" w:rsidR="005B159A" w:rsidRPr="00304CE2" w:rsidRDefault="005B159A" w:rsidP="00304CE2">
            <w:pPr>
              <w:jc w:val="center"/>
              <w:rPr>
                <w:color w:val="000000"/>
                <w:lang w:val="en-US"/>
              </w:rPr>
            </w:pPr>
            <w:r w:rsidRPr="00304CE2">
              <w:rPr>
                <w:color w:val="000000"/>
                <w:lang w:val="en-US"/>
              </w:rPr>
              <w:t>Yes</w:t>
            </w:r>
          </w:p>
        </w:tc>
        <w:tc>
          <w:tcPr>
            <w:tcW w:w="851" w:type="dxa"/>
            <w:tcBorders>
              <w:top w:val="nil"/>
              <w:left w:val="nil"/>
              <w:bottom w:val="single" w:sz="4" w:space="0" w:color="auto"/>
              <w:right w:val="nil"/>
            </w:tcBorders>
            <w:noWrap/>
            <w:vAlign w:val="bottom"/>
          </w:tcPr>
          <w:p w14:paraId="6096590D" w14:textId="77777777" w:rsidR="005B159A" w:rsidRPr="00190F7C" w:rsidRDefault="005B159A" w:rsidP="00D338D8">
            <w:pPr>
              <w:jc w:val="center"/>
              <w:rPr>
                <w:lang w:val="en-US"/>
              </w:rPr>
            </w:pPr>
          </w:p>
        </w:tc>
        <w:tc>
          <w:tcPr>
            <w:tcW w:w="1134" w:type="dxa"/>
            <w:tcBorders>
              <w:top w:val="nil"/>
              <w:left w:val="nil"/>
              <w:bottom w:val="single" w:sz="4" w:space="0" w:color="auto"/>
              <w:right w:val="nil"/>
            </w:tcBorders>
            <w:noWrap/>
            <w:vAlign w:val="bottom"/>
          </w:tcPr>
          <w:p w14:paraId="02E32756" w14:textId="77777777" w:rsidR="005B159A" w:rsidRPr="00190F7C" w:rsidRDefault="005B159A" w:rsidP="00D338D8">
            <w:pPr>
              <w:jc w:val="center"/>
              <w:rPr>
                <w:lang w:val="en-US"/>
              </w:rPr>
            </w:pPr>
          </w:p>
        </w:tc>
      </w:tr>
    </w:tbl>
    <w:p w14:paraId="4F8F1085" w14:textId="77777777" w:rsidR="005B159A" w:rsidRPr="00190F7C" w:rsidRDefault="005B159A" w:rsidP="00D338D8">
      <w:r w:rsidRPr="00FD7EDA">
        <w:t>Notes</w:t>
      </w:r>
      <w:r w:rsidRPr="00190F7C">
        <w:rPr>
          <w:b/>
          <w:bCs/>
        </w:rPr>
        <w:t xml:space="preserve">: </w:t>
      </w:r>
      <w:r w:rsidRPr="00190F7C">
        <w:t>*; **; and *** represent 10%; 5%; and 1% Significance level, respectively</w:t>
      </w:r>
    </w:p>
    <w:p w14:paraId="704942C3" w14:textId="77777777" w:rsidR="00D338D8" w:rsidRDefault="00D338D8" w:rsidP="00D338D8">
      <w:pPr>
        <w:jc w:val="both"/>
      </w:pPr>
    </w:p>
    <w:p w14:paraId="3E799A07" w14:textId="57C88486" w:rsidR="005B159A" w:rsidRPr="00190F7C" w:rsidRDefault="005B159A" w:rsidP="00D338D8">
      <w:pPr>
        <w:ind w:firstLine="284"/>
        <w:jc w:val="both"/>
      </w:pPr>
      <w:r w:rsidRPr="00190F7C">
        <w:t xml:space="preserve">The regression results on the relationship between institutional factors (economic constraints proxied by access to finance), competition and SI. It also presents the relationship between environmental policy, other firm specific attributes such as company size and leverage and SI. </w:t>
      </w:r>
      <w:r w:rsidRPr="00190F7C">
        <w:rPr>
          <w:lang w:eastAsia="en-MY"/>
        </w:rPr>
        <w:t>Table 5 displays the outcomes of the Generalize Lease Square Model (GLS) and panel corrected standard error (PCSE) regressions. According to the chi-square results of the Hausman specification test, the two models' explanatory variables cooperate to define SI for Nigeria's non-financial firms (p&gt;0.000).</w:t>
      </w:r>
    </w:p>
    <w:p w14:paraId="571D8A92" w14:textId="77777777" w:rsidR="00D338D8" w:rsidRDefault="00D338D8" w:rsidP="00D338D8">
      <w:pPr>
        <w:ind w:firstLine="284"/>
        <w:jc w:val="both"/>
        <w:rPr>
          <w:lang w:eastAsia="en-MY"/>
        </w:rPr>
      </w:pPr>
    </w:p>
    <w:p w14:paraId="5A16E4F8" w14:textId="67E8554E" w:rsidR="005B159A" w:rsidRPr="00190F7C" w:rsidRDefault="005B159A" w:rsidP="00D338D8">
      <w:pPr>
        <w:ind w:firstLine="284"/>
        <w:jc w:val="both"/>
        <w:rPr>
          <w:lang w:eastAsia="en-MY"/>
        </w:rPr>
      </w:pPr>
      <w:r w:rsidRPr="00190F7C">
        <w:rPr>
          <w:lang w:eastAsia="en-MY"/>
        </w:rPr>
        <w:t xml:space="preserve">Firms' SI is not affected by their access to finance, as access to finance (ACFI) is not substantially connected to SI, according to the PCSE regression result (z &gt; -0.60 and P &gt; 0.551). Similarly, robustness regression results using the GLS model reveal a similar outcome (z&gt;-0.76 and P&gt;z 0.449). </w:t>
      </w:r>
      <w:r w:rsidRPr="00190F7C">
        <w:t xml:space="preserve">The results imply that the predicted value of SI does not decrease or increase due to the economic constraints of the firms under consideration. The findings did not support the theory which predicts that the sources of coercive mechanisms include regulations and economic constraints’ pressures that affect organizations' decisions concerning sustainability </w:t>
      </w:r>
      <w:r w:rsidRPr="00190F7C">
        <w:fldChar w:fldCharType="begin"/>
      </w:r>
      <w:r w:rsidRPr="00190F7C">
        <w:instrText>ADDIN CSL_CITATION {"citationItems":[{"id":"ITEM-1","itemData":{"DOI":"10.3390/su10082954","ISSN":"20711050","abstract":"Higher education institutions (HEIs) have been steadily progressing towards the integration of sustainable practices in their structures and operations. Several studies have reported the variety of drivers of change and the barriers to change that universities have found in the integration process. The present investigation is aimed at further characterizing and ranking the drivers for, and barriers of, sustainability integration in HEIs within their structures and operating functions. Open-ended expert opinion interviews of key sustainability leaders appointed at 45 HEIs from 10 Latin-American countries were conducted in order to learn lessons from their diverse experiences of the process. Additionally, a thematic workshop on HEI sustainability was organized to facilitate further discussions between 23 sustainability scholars and/or national coordinators of university networks from 11 Latin American countries. As a result, 15 barriers were identified as hindering the institutionalization of sustainability in HEIs. This study also examined the relationship between these reported barriers with 13 main drivers that were identified to be facilitating the integration of sustainable practices within the organizational and academic structures at the universities. The strong correspondence between the several observed drivers for, and barriers to, change highlights the importance of strategic planning that offers integrated actions. The findings of this paper can serve as a reference to assist HEIs in identifying drivers of, and barriers to, sustainability, so that the former can be fostered and the latter addressed effectively. This can help identify and plan targeted actions to make the transition towards sustainability in HEIs more natural and effective.","author":[{"dropping-particle":"","family":"Blanco-Portela","given":"Norka","non-dropping-particle":"","parse-names":false,"suffix":""},{"dropping-particle":"","family":"R-Pertierra","given":"Luis","non-dropping-particle":"","parse-names":false,"suffix":""},{"dropping-particle":"","family":"Benayas","given":"Javier","non-dropping-particle":"","parse-names":false,"suffix":""},{"dropping-particle":"","family":"Lozano","given":"Rodrigo","non-dropping-particle":"","parse-names":false,"suffix":""}],"container-title":"Sustainability (Switzerland)","id":"ITEM-1","issue":"8","issued":{"date-parts":[["2018"]]},"title":"Sustainability leaders' perceptions on the drivers for and the barriers to the integration of sustainability in Latin American Higher Education Institutions","type":"article-journal","volume":"10"},"uris":["http://www.mendeley.com/documents/?uuid=1c8c6080-d18d-4fec-be8a-fed22704f432"]}],"mendeley":{"formattedCitation":"(Blanco-Portela et al., 2018)","plainTextFormattedCitation":"(Blanco-Portela et al., 2018)","previouslyFormattedCitation":"(Blanco-Portela et al., 2018)"},"properties":{"noteIndex":0},"schema":"https://github.com/citation-style-language/schema/raw/master/csl-citation.json"}</w:instrText>
      </w:r>
      <w:r w:rsidRPr="00190F7C">
        <w:fldChar w:fldCharType="separate"/>
      </w:r>
      <w:r w:rsidRPr="00190F7C">
        <w:t>(Blanco-Portela et al., 2018)</w:t>
      </w:r>
      <w:r w:rsidRPr="00190F7C">
        <w:fldChar w:fldCharType="end"/>
      </w:r>
      <w:r w:rsidRPr="00190F7C">
        <w:t>.</w:t>
      </w:r>
    </w:p>
    <w:p w14:paraId="26BAD0C8" w14:textId="77777777" w:rsidR="00D338D8" w:rsidRDefault="00D338D8" w:rsidP="00D338D8">
      <w:pPr>
        <w:ind w:firstLine="284"/>
        <w:jc w:val="both"/>
      </w:pPr>
    </w:p>
    <w:p w14:paraId="3B5AE38C" w14:textId="54825319" w:rsidR="005B159A" w:rsidRPr="00190F7C" w:rsidRDefault="005B159A" w:rsidP="00D338D8">
      <w:pPr>
        <w:ind w:firstLine="284"/>
        <w:jc w:val="both"/>
      </w:pPr>
      <w:r w:rsidRPr="00190F7C">
        <w:t xml:space="preserve">Conversely, this result is in line with the suggestion by </w:t>
      </w:r>
      <w:r w:rsidRPr="00190F7C">
        <w:fldChar w:fldCharType="begin"/>
      </w:r>
      <w:r w:rsidRPr="00190F7C">
        <w:instrText>ADDIN CSL_CITATION {"citationItems":[{"id":"ITEM-1","itemData":{"DOI":"10.1007/s10645-008-9089-y","ISSN":"0013063X","abstract":"In this paper we examine the importance of financial and other obstacles to innovation in the Netherlands using statistical information from the CIS 3.5 innovation survey. We report results on the effect of these obstacles on the firms' decision to abandon, prematurely stop, seriously slow down, or not to start an innovative project. These results are compared with those from other studies in the Netherlands and other countries. We end with a discussion of policy measures that have been taken to overcome, or at least attenuate these obstacles, such as R&amp;D tax incentives, venture capital financing and policy mix packages. © Springer Science+Business Media, LLC. 2008.","author":[{"dropping-particle":"","family":"Mohnen","given":"P.","non-dropping-particle":"","parse-names":false,"suffix":""},{"dropping-particle":"","family":"Palm","given":"F. C.","non-dropping-particle":"","parse-names":false,"suffix":""},{"dropping-particle":"","family":"Loeff","given":"S. Schim","non-dropping-particle":"Van der","parse-names":false,"suffix":""},{"dropping-particle":"","family":"Tiwari","given":"A.","non-dropping-particle":"","parse-names":false,"suffix":""}],"container-title":"Economist","id":"ITEM-1","issue":"2","issued":{"date-parts":[["2008"]]},"page":"201-214","title":"Financial constraints and other obstacles: Are they a threat to innovation activity?","type":"article-journal","volume":"156"},"uris":["http://www.mendeley.com/documents/?uuid=92c10492-00c7-42e9-9e1b-9e538730b13f"]}],"mendeley":{"formattedCitation":"(Mohnen et al., 2008)","manualFormatting":"Mohnen et al. (2008)","plainTextFormattedCitation":"(Mohnen et al., 2008)","previouslyFormattedCitation":"(Mohnen et al., 2008)"},"properties":{"noteIndex":0},"schema":"https://github.com/citation-style-language/schema/raw/master/csl-citation.json"}</w:instrText>
      </w:r>
      <w:r w:rsidRPr="00190F7C">
        <w:fldChar w:fldCharType="separate"/>
      </w:r>
      <w:r w:rsidRPr="00190F7C">
        <w:t>Mohnen et al. (2008)</w:t>
      </w:r>
      <w:r w:rsidRPr="00190F7C">
        <w:fldChar w:fldCharType="end"/>
      </w:r>
      <w:r w:rsidRPr="00190F7C">
        <w:t xml:space="preserve"> and </w:t>
      </w:r>
      <w:proofErr w:type="spellStart"/>
      <w:r w:rsidRPr="00190F7C">
        <w:t>Yazdanfar</w:t>
      </w:r>
      <w:proofErr w:type="spellEnd"/>
      <w:r w:rsidRPr="00190F7C">
        <w:t xml:space="preserve"> and Öhman (2015) that economic constraints as a yardstick for the development of the financial sector may not necessarily lead to a positive result in terms of growth for firms. Notwithstanding, the result negates the findings made by </w:t>
      </w:r>
      <w:r w:rsidRPr="00190F7C">
        <w:fldChar w:fldCharType="begin"/>
      </w:r>
      <w:r w:rsidRPr="00190F7C">
        <w:instrText>ADDIN CSL_CITATION {"citationItems":[{"id":"ITEM-1","itemData":{"DOI":"10.3390/su11195451","ISSN":"20711050","abstract":"In many developing countries, obtaining financial services at affordable rates and fair terms has been a significant challenge for small and medium enterprises (SMEs). However, this issue has not been paid much attention in Vietnam, even though SMEs account for about 95% of total enterprises and the financial market of the country has not been well developed. This study investigates the causal effects of access to finance on productivity of SMEs operating in the manufacturing sector in Vietnam. Productivity was measured as the total factor productivity (TFP) obtained by production function estimation using the Levinsohn and Petrin approach. Regarding financial accessibility, two factors covered the extent to which firms might have a bank loan or overdraft facility were employed. To study the causal inferences of access to finance on firm productivity, the research adopted the difference-in-differences (DID) approach, as well as the propensity score matching (PSM) coupled with DID technique. The empirical results indicated that improving the financial accessibility could directly enhance firm productivity. Particularly, it was shown that firms having access to a bank loan could significantly improve TFP by approximately 8.6% in the DID model and about 9% in the PSM-DID model. Meanwhile, the firm average TFP increased by approximately 12.3% and 15.7% in simple DID and PSM-DID models, respectively, when firms had an overdraft facility. These findings suggest that the government should put more effort into assisting SMEs in generating bankable projects, and create a sound and healthy financial environment to stimulate firms' access to finance, which will ensure their sustainability and growth.","author":[{"dropping-particle":"","family":"Giang","given":"Mai Huong","non-dropping-particle":"","parse-names":false,"suffix":""},{"dropping-particle":"","family":"Trung","given":"Bui Huy","non-dropping-particle":"","parse-names":false,"suffix":""},{"dropping-particle":"","family":"Yoshida","given":"Yuichiro","non-dropping-particle":"","parse-names":false,"suffix":""},{"dropping-particle":"","family":"Xuan","given":"Tran Dang","non-dropping-particle":"","parse-names":false,"suffix":""},{"dropping-particle":"","family":"Que","given":"Mai Thanh","non-dropping-particle":"","parse-names":false,"suffix":""}],"container-title":"Sustainability (Switzerland)","id":"ITEM-1","issue":"19","issued":{"date-parts":[["2019"]]},"page":"1-19","title":"The causal effect of access to finance on productivity of small and medium enterprises in Vietnam","type":"article-journal","volume":"11"},"uris":["http://www.mendeley.com/documents/?uuid=1e88b2e6-39df-444a-b1a2-4e48280ea2e0"]}],"mendeley":{"formattedCitation":"(Giang et al., 2019)","manualFormatting":"Giang et al. (2019)","plainTextFormattedCitation":"(Giang et al., 2019)","previouslyFormattedCitation":"(Giang et al., 2019)"},"properties":{"noteIndex":0},"schema":"https://github.com/citation-style-language/schema/raw/master/csl-citation.json"}</w:instrText>
      </w:r>
      <w:r w:rsidRPr="00190F7C">
        <w:fldChar w:fldCharType="separate"/>
      </w:r>
      <w:r w:rsidRPr="00190F7C">
        <w:t>Giang et al. (2019)</w:t>
      </w:r>
      <w:r w:rsidRPr="00190F7C">
        <w:fldChar w:fldCharType="end"/>
      </w:r>
      <w:r w:rsidRPr="00190F7C">
        <w:t xml:space="preserve"> that access to finance significantly impacted firm productivity, which invariably improves SI. Thus, access to finance measured by loan/overdraft does not improve SI. </w:t>
      </w:r>
    </w:p>
    <w:p w14:paraId="40D55DF5" w14:textId="77777777" w:rsidR="00D338D8" w:rsidRDefault="00D338D8" w:rsidP="00D338D8">
      <w:pPr>
        <w:ind w:firstLine="284"/>
        <w:jc w:val="both"/>
        <w:rPr>
          <w:lang w:eastAsia="en-MY"/>
        </w:rPr>
      </w:pPr>
    </w:p>
    <w:p w14:paraId="28D84974" w14:textId="376F3873" w:rsidR="005B159A" w:rsidRPr="00190F7C" w:rsidRDefault="005B159A" w:rsidP="00D338D8">
      <w:pPr>
        <w:ind w:firstLine="284"/>
        <w:jc w:val="both"/>
      </w:pPr>
      <w:r w:rsidRPr="00190F7C">
        <w:rPr>
          <w:lang w:eastAsia="en-MY"/>
        </w:rPr>
        <w:t xml:space="preserve">This finding suggests that leverage has a detrimental effect on the assumed value of SI. This result demonstrates how using debt to finance the significant proceedings impedes the firm's ability to assume sustainable progress. The outcome is also in line with the findings of Bashiru et al. (2022). However, the result runs counter to Yang and Lai's (2021) empirical findings, which showed a direct correlation between SI and economic leverage. </w:t>
      </w:r>
      <w:r w:rsidRPr="00190F7C">
        <w:t>Consistent with the research prediction which relied on institutional theory and predicted that competition has a positive relationship with SI, the results shown in Table 5 indicate that competition has a significant and positive influence on SI in both the PCSE and GLS models with (Z &gt;1.89 and P&gt;Z 0.049) and (Z 1.27 and P&gt;Z 0.003) respectively.</w:t>
      </w:r>
    </w:p>
    <w:p w14:paraId="0C86A795" w14:textId="77777777" w:rsidR="005B159A" w:rsidRPr="00190F7C" w:rsidRDefault="005B159A" w:rsidP="00D338D8">
      <w:pPr>
        <w:ind w:firstLine="284"/>
        <w:jc w:val="both"/>
      </w:pPr>
    </w:p>
    <w:p w14:paraId="24D7BAB3" w14:textId="77777777" w:rsidR="005B159A" w:rsidRPr="00190F7C" w:rsidRDefault="005B159A" w:rsidP="0034382C">
      <w:pPr>
        <w:ind w:firstLine="284"/>
        <w:jc w:val="both"/>
      </w:pPr>
      <w:r w:rsidRPr="00190F7C">
        <w:t xml:space="preserve">The result supports the theoretical prediction of the relationship between competition based on foreign shareholders' presence and domestic companies' CSR initiatives. </w:t>
      </w:r>
      <w:r w:rsidRPr="00190F7C">
        <w:rPr>
          <w:lang w:eastAsia="en-MY"/>
        </w:rPr>
        <w:t>It is also in line with Flammer (2015), who contends that in order to fit in with the global fraternity, local businesses may copy or emulate other prosperous foreign businesses as they grow more globalized.</w:t>
      </w:r>
      <w:r w:rsidRPr="00190F7C">
        <w:t xml:space="preserve"> It is consistent with Amran and </w:t>
      </w:r>
      <w:proofErr w:type="spellStart"/>
      <w:r w:rsidRPr="00190F7C">
        <w:t>Haniffa</w:t>
      </w:r>
      <w:proofErr w:type="spellEnd"/>
      <w:r w:rsidRPr="00190F7C">
        <w:t xml:space="preserve"> (2011), who established domestic companies could gain a competitive advantage over others based on the percentage of foreign shareholders.</w:t>
      </w:r>
    </w:p>
    <w:p w14:paraId="418E79FC" w14:textId="77777777" w:rsidR="00D338D8" w:rsidRDefault="00D338D8" w:rsidP="0034382C">
      <w:pPr>
        <w:ind w:firstLine="284"/>
        <w:jc w:val="both"/>
        <w:rPr>
          <w:lang w:eastAsia="en-MY"/>
        </w:rPr>
      </w:pPr>
    </w:p>
    <w:p w14:paraId="03222804" w14:textId="45860584" w:rsidR="005B159A" w:rsidRPr="00190F7C" w:rsidRDefault="005B159A" w:rsidP="0034382C">
      <w:pPr>
        <w:ind w:firstLine="284"/>
        <w:jc w:val="both"/>
      </w:pPr>
      <w:r w:rsidRPr="00190F7C">
        <w:rPr>
          <w:lang w:eastAsia="en-MY"/>
        </w:rPr>
        <w:t xml:space="preserve">According to the research prediction, which is predicated on the idea that environmental policy has a positive and significant link with SI, institutional theory shapes firms and their </w:t>
      </w:r>
      <w:proofErr w:type="spellStart"/>
      <w:r w:rsidRPr="00190F7C">
        <w:rPr>
          <w:lang w:eastAsia="en-MY"/>
        </w:rPr>
        <w:t>behaviors</w:t>
      </w:r>
      <w:proofErr w:type="spellEnd"/>
      <w:r w:rsidRPr="00190F7C">
        <w:rPr>
          <w:lang w:eastAsia="en-MY"/>
        </w:rPr>
        <w:t xml:space="preserve"> in the business environment (Powell &amp; </w:t>
      </w:r>
      <w:proofErr w:type="spellStart"/>
      <w:r w:rsidRPr="00190F7C">
        <w:rPr>
          <w:lang w:eastAsia="en-MY"/>
        </w:rPr>
        <w:t>Colyvas</w:t>
      </w:r>
      <w:proofErr w:type="spellEnd"/>
      <w:r w:rsidRPr="00190F7C">
        <w:rPr>
          <w:lang w:eastAsia="en-MY"/>
        </w:rPr>
        <w:t xml:space="preserve">, 2008). </w:t>
      </w:r>
      <w:r w:rsidRPr="00190F7C">
        <w:t xml:space="preserve">The result is consistent with the research predictions, as shown in Table 5, which indicates that environmental policy (ENVP) has a positive and significant influence on SI in both PCSE and GLS models (Z&gt; 17.57 and P&gt;Z 0.000) and (Z&gt; 11.42 and P&gt;Z 0.000) respectively. The result also settles with the conclusions of Al-Farooque and </w:t>
      </w:r>
      <w:proofErr w:type="spellStart"/>
      <w:r w:rsidRPr="00190F7C">
        <w:t>Ahulu</w:t>
      </w:r>
      <w:proofErr w:type="spellEnd"/>
      <w:r w:rsidRPr="00190F7C">
        <w:t xml:space="preserve"> (2015), who recognized that business internal and environmental policies influence SI, as well as Haladu and Bin-Nashwan (2021)’s results that ENVP has a significant relationship with SI in Nigeria.</w:t>
      </w:r>
    </w:p>
    <w:p w14:paraId="148B19F3" w14:textId="77777777" w:rsidR="00D338D8" w:rsidRDefault="00D338D8" w:rsidP="00304CE2">
      <w:pPr>
        <w:ind w:firstLine="284"/>
        <w:jc w:val="both"/>
      </w:pPr>
    </w:p>
    <w:p w14:paraId="1872281C" w14:textId="0B762035" w:rsidR="005B159A" w:rsidRPr="0034382C" w:rsidRDefault="005B159A" w:rsidP="00304CE2">
      <w:pPr>
        <w:ind w:firstLine="284"/>
        <w:jc w:val="both"/>
        <w:rPr>
          <w:lang w:eastAsia="en-MY"/>
        </w:rPr>
      </w:pPr>
      <w:r w:rsidRPr="00190F7C">
        <w:t xml:space="preserve">The results from Table 5 of this study also disclose that company size (CSZE) is significant and positively related to SI in both PCSE and GLS models (Z&gt; 3.14 and P&gt;Z 0.002) and (Z&gt; 3.20 and P&gt;Z 0.001) respectively. This outcome indicates that larger firms, in terms of total assets are more likely to engage in SI (Ren &amp; Isa, 2023). </w:t>
      </w:r>
      <w:r w:rsidRPr="00190F7C">
        <w:rPr>
          <w:lang w:eastAsia="en-MY"/>
        </w:rPr>
        <w:t>The findings support earlier research showing that a firm's size significantly improves SI (Ja'afar et al., 2021; Pham et al., 2021; Sroufe &amp; Gopalakrishna-</w:t>
      </w:r>
      <w:proofErr w:type="spellStart"/>
      <w:r w:rsidRPr="00190F7C">
        <w:rPr>
          <w:lang w:eastAsia="en-MY"/>
        </w:rPr>
        <w:t>Remani</w:t>
      </w:r>
      <w:proofErr w:type="spellEnd"/>
      <w:r w:rsidRPr="00190F7C">
        <w:rPr>
          <w:lang w:eastAsia="en-MY"/>
        </w:rPr>
        <w:t>, 2019).</w:t>
      </w:r>
    </w:p>
    <w:p w14:paraId="4713A113" w14:textId="77777777" w:rsidR="005B159A" w:rsidRPr="00E63245" w:rsidRDefault="005B159A" w:rsidP="00C46363">
      <w:pPr>
        <w:pBdr>
          <w:top w:val="nil"/>
          <w:left w:val="nil"/>
          <w:bottom w:val="nil"/>
          <w:right w:val="nil"/>
          <w:between w:val="nil"/>
        </w:pBdr>
        <w:ind w:left="360"/>
        <w:rPr>
          <w:color w:val="EE0000"/>
        </w:rPr>
      </w:pPr>
    </w:p>
    <w:p w14:paraId="265D681A" w14:textId="1E2518AE" w:rsidR="0044779C" w:rsidRPr="00CB5EA3" w:rsidRDefault="0044779C" w:rsidP="000452A4">
      <w:pPr>
        <w:numPr>
          <w:ilvl w:val="0"/>
          <w:numId w:val="2"/>
        </w:numPr>
        <w:pBdr>
          <w:top w:val="nil"/>
          <w:left w:val="nil"/>
          <w:bottom w:val="nil"/>
          <w:right w:val="nil"/>
          <w:between w:val="nil"/>
        </w:pBdr>
      </w:pPr>
      <w:r>
        <w:rPr>
          <w:b/>
          <w:color w:val="000000"/>
        </w:rPr>
        <w:t>Discussion</w:t>
      </w:r>
    </w:p>
    <w:p w14:paraId="71E2F251" w14:textId="77777777" w:rsidR="0034382C" w:rsidRDefault="0034382C" w:rsidP="0034382C">
      <w:pPr>
        <w:jc w:val="both"/>
      </w:pPr>
    </w:p>
    <w:p w14:paraId="1214C0F3" w14:textId="3B16B9CE" w:rsidR="0034382C" w:rsidRPr="00190F7C" w:rsidRDefault="0034382C" w:rsidP="0034382C">
      <w:pPr>
        <w:ind w:firstLine="360"/>
        <w:jc w:val="both"/>
        <w:rPr>
          <w:lang w:eastAsia="en-MY"/>
        </w:rPr>
      </w:pPr>
      <w:r w:rsidRPr="00190F7C">
        <w:t xml:space="preserve">This study tries to analytically use institutional factors such as economic constraints proxied by access to finance, competition and firm-specific attributes such as firm size, and leverage as determining factors for SI to explore their effect on non-financial companies rated and ranked by CSRHUB in Nigeria between 2018 and 2023. The sample size is 300 observations. The study works toward an inference about the impact of institutional factors and firm-specific attributes on SI. </w:t>
      </w:r>
      <w:r w:rsidRPr="00190F7C">
        <w:rPr>
          <w:lang w:eastAsia="en-MY"/>
        </w:rPr>
        <w:t>Panel data was gathered from the annual reports and accounts of registered non-financial businesses in order to test five (5) hypotheses on the effects of access to finance, competition, and environmental policy as well as firm-specific variables like company size and leverage on sustainability initiative. The hypothesis was supported by the institutional and stakeholder theories, which forecasted the beneficial effects of the independent factors on sustainability initiative.</w:t>
      </w:r>
    </w:p>
    <w:p w14:paraId="413ADE0E" w14:textId="77777777" w:rsidR="0034382C" w:rsidRPr="00190F7C" w:rsidRDefault="0034382C" w:rsidP="0034382C">
      <w:pPr>
        <w:jc w:val="both"/>
      </w:pPr>
    </w:p>
    <w:p w14:paraId="0A658645" w14:textId="77777777" w:rsidR="0034382C" w:rsidRPr="00190F7C" w:rsidRDefault="0034382C" w:rsidP="0034382C">
      <w:pPr>
        <w:ind w:firstLine="360"/>
        <w:jc w:val="both"/>
        <w:rPr>
          <w:lang w:eastAsia="en-MY"/>
        </w:rPr>
      </w:pPr>
      <w:r w:rsidRPr="00190F7C">
        <w:rPr>
          <w:lang w:eastAsia="en-MY"/>
        </w:rPr>
        <w:t xml:space="preserve">Since the company's access to finance and leverage have no convincing effect on sustainability initiative, the results of the PCSE and GLS models demonstrate that the IT and STs are unsupported. Conversely, sustainability initiative is positively correlated with competition and environmental policy. The study's findings give institutional theory credence. Because corporate internal and environmental policies have an impact on SI, the level of SI rises in tandem with the number of foreign shareholders. </w:t>
      </w:r>
      <w:r w:rsidRPr="00190F7C">
        <w:t>The rise in number of foreign shareholders increased assignation with stakeholders primes to view SI as a business policy with the feasibility to improve public services with the neighbouring community, yield tangible advantages that can upsurge the firm's profile and corporate environmental policies towards SI.</w:t>
      </w:r>
    </w:p>
    <w:p w14:paraId="73DCCDF8" w14:textId="77777777" w:rsidR="0034382C" w:rsidRPr="00190F7C" w:rsidRDefault="0034382C" w:rsidP="0034382C">
      <w:pPr>
        <w:jc w:val="both"/>
      </w:pPr>
    </w:p>
    <w:p w14:paraId="761ED9CE" w14:textId="77777777" w:rsidR="004B0BF5" w:rsidRDefault="0034382C" w:rsidP="004B0BF5">
      <w:pPr>
        <w:ind w:firstLine="360"/>
        <w:jc w:val="both"/>
      </w:pPr>
      <w:r w:rsidRPr="00190F7C">
        <w:t>Similarly, encouraging and significant impact of company size on corporate sustainability initiative is also revealed. As a result, major firms provide a lot of transformation and a better chance to admire financial ceiling in expanding sustainability practices due to the volume of proficiency they have amassed. Based on our findings, we conclude that competition, environmental policy, as well as firm-specific variable company size significantly impact the CSRHUB standings and evaluations on the non-financial establishments in Nigeria.</w:t>
      </w:r>
    </w:p>
    <w:p w14:paraId="64A8E1DE" w14:textId="77777777" w:rsidR="004B0BF5" w:rsidRDefault="004B0BF5" w:rsidP="004B0BF5">
      <w:pPr>
        <w:ind w:firstLine="360"/>
        <w:jc w:val="both"/>
      </w:pPr>
    </w:p>
    <w:p w14:paraId="5BBF5DBD" w14:textId="18969A44" w:rsidR="0034382C" w:rsidRPr="00190F7C" w:rsidRDefault="0034382C" w:rsidP="004B0BF5">
      <w:pPr>
        <w:ind w:firstLine="360"/>
        <w:jc w:val="both"/>
      </w:pPr>
      <w:r w:rsidRPr="00190F7C">
        <w:rPr>
          <w:lang w:eastAsia="en-MY"/>
        </w:rPr>
        <w:t>Moreover, the results of this study should convince industries that one of the most effective ways to increase SI and speed up the process of sustainable development efforts is to increase the number of foreign shareholders on their boards. To sum up, this work has significant ramifications for environmental policy and legislation. The study's findings can therefore be used by regulators and policymakers to suggest a structure that will encourage the application of SI while maintaining its morality for both the environment and humanity.</w:t>
      </w:r>
    </w:p>
    <w:p w14:paraId="577C0861" w14:textId="77777777" w:rsidR="0034382C" w:rsidRPr="00190F7C" w:rsidRDefault="0034382C" w:rsidP="0034382C">
      <w:pPr>
        <w:jc w:val="both"/>
        <w:rPr>
          <w:lang w:eastAsia="en-MY"/>
        </w:rPr>
      </w:pPr>
    </w:p>
    <w:p w14:paraId="67383A21" w14:textId="46468B75" w:rsidR="004B0BF5" w:rsidRPr="004B0BF5" w:rsidRDefault="0034382C" w:rsidP="004B0BF5">
      <w:pPr>
        <w:pStyle w:val="ListParagraph"/>
        <w:numPr>
          <w:ilvl w:val="0"/>
          <w:numId w:val="2"/>
        </w:numPr>
        <w:jc w:val="both"/>
        <w:rPr>
          <w:b/>
          <w:bCs/>
        </w:rPr>
      </w:pPr>
      <w:r w:rsidRPr="004B0BF5">
        <w:rPr>
          <w:b/>
          <w:bCs/>
        </w:rPr>
        <w:t>Limitations and Suggestions for Future Study</w:t>
      </w:r>
    </w:p>
    <w:p w14:paraId="6A88CAFE" w14:textId="77777777" w:rsidR="004B0BF5" w:rsidRDefault="004B0BF5" w:rsidP="004B0BF5">
      <w:pPr>
        <w:jc w:val="both"/>
        <w:rPr>
          <w:b/>
          <w:bCs/>
        </w:rPr>
      </w:pPr>
    </w:p>
    <w:p w14:paraId="42380AD2" w14:textId="731AE9D0" w:rsidR="0034382C" w:rsidRPr="004B0BF5" w:rsidRDefault="0034382C" w:rsidP="004B0BF5">
      <w:pPr>
        <w:ind w:firstLine="284"/>
        <w:jc w:val="both"/>
        <w:rPr>
          <w:b/>
          <w:bCs/>
        </w:rPr>
      </w:pPr>
      <w:r w:rsidRPr="00190F7C">
        <w:rPr>
          <w:lang w:eastAsia="en-MY"/>
        </w:rPr>
        <w:t>It is important to keep in mind that this research has limitations. First, the study just examines Nigerian companies that CSRHUB has evaluated and ranked. Therefore, it would be inappropriate to extrapolate the study's findings to every business that trades on the Nigerian Exchange Group.</w:t>
      </w:r>
      <w:r w:rsidRPr="00190F7C">
        <w:t xml:space="preserve"> </w:t>
      </w:r>
      <w:r w:rsidRPr="00190F7C">
        <w:rPr>
          <w:lang w:eastAsia="en-MY"/>
        </w:rPr>
        <w:t>The data covered only from 2018–2023, because the majority of Nigerian businesses are not included in independent sustainability databases like Thomson Reuters and the Dow Jones Sustainability Indices. Despite the fact that many businesses can now share sustainability reports with the public thanks to the internet, the data used in this study was meticulously taken from the company's yearly financial reports and other periodicals.</w:t>
      </w:r>
    </w:p>
    <w:p w14:paraId="4663BB14" w14:textId="77777777" w:rsidR="00986C99" w:rsidRDefault="00986C99" w:rsidP="0034382C">
      <w:pPr>
        <w:jc w:val="both"/>
        <w:rPr>
          <w:lang w:eastAsia="en-MY"/>
        </w:rPr>
      </w:pPr>
    </w:p>
    <w:p w14:paraId="62A23D2F" w14:textId="7E2AAE0A" w:rsidR="0034382C" w:rsidRDefault="0034382C" w:rsidP="00986C99">
      <w:pPr>
        <w:ind w:firstLine="284"/>
        <w:jc w:val="both"/>
        <w:rPr>
          <w:lang w:eastAsia="en-MY"/>
        </w:rPr>
      </w:pPr>
      <w:r w:rsidRPr="00190F7C">
        <w:rPr>
          <w:lang w:eastAsia="en-MY"/>
        </w:rPr>
        <w:t>Nevertheless, as suggested by earlier research, this study only looked at the effects of a few institutional elements on SI and other particular characteristics that might have an impact on SI. Therefore, the use of sustainability committees and economic limitations on financial sector enterprises as possible predictors of SI to gauge their effects on SI could be replicated in future studies. Despite its flaws, the study adds to the body of knowledge by showing that environmental policies also increase SI, just as increasing the number of foreign shareholders does.</w:t>
      </w:r>
    </w:p>
    <w:p w14:paraId="39E643FE" w14:textId="77777777" w:rsidR="00F95F16" w:rsidRPr="00190F7C" w:rsidRDefault="00F95F16" w:rsidP="00F95F16">
      <w:pPr>
        <w:jc w:val="both"/>
        <w:rPr>
          <w:lang w:eastAsia="en-MY"/>
        </w:rPr>
      </w:pPr>
    </w:p>
    <w:p w14:paraId="36860AFF" w14:textId="77777777" w:rsidR="00F95F16" w:rsidRDefault="00F95F16" w:rsidP="00F95F16">
      <w:pPr>
        <w:jc w:val="both"/>
        <w:rPr>
          <w:b/>
          <w:lang w:val="en-MY"/>
        </w:rPr>
      </w:pPr>
      <w:r w:rsidRPr="00B2528B">
        <w:rPr>
          <w:b/>
          <w:bCs/>
          <w:lang w:val="en-MY"/>
        </w:rPr>
        <w:t>Data Availability</w:t>
      </w:r>
    </w:p>
    <w:p w14:paraId="4F60A357" w14:textId="77777777" w:rsidR="00F95F16" w:rsidRDefault="00F95F16" w:rsidP="00F95F16">
      <w:pPr>
        <w:jc w:val="both"/>
        <w:rPr>
          <w:b/>
          <w:lang w:val="en-MY"/>
        </w:rPr>
      </w:pPr>
    </w:p>
    <w:p w14:paraId="49671E1E" w14:textId="59FD02A7" w:rsidR="00F95F16" w:rsidRPr="00B2528B" w:rsidRDefault="00F95F16" w:rsidP="00F95F16">
      <w:pPr>
        <w:ind w:firstLine="284"/>
        <w:jc w:val="both"/>
        <w:rPr>
          <w:bCs/>
          <w:lang w:val="en-MY"/>
        </w:rPr>
      </w:pPr>
      <w:r w:rsidRPr="00F95F16">
        <w:rPr>
          <w:bCs/>
        </w:rPr>
        <w:t>Data available on request from the authors</w:t>
      </w:r>
    </w:p>
    <w:p w14:paraId="13FB32C0" w14:textId="77777777" w:rsidR="00F95F16" w:rsidRDefault="00F95F16" w:rsidP="00F95F16">
      <w:pPr>
        <w:jc w:val="both"/>
        <w:rPr>
          <w:b/>
          <w:bCs/>
          <w:lang w:val="en-MY"/>
        </w:rPr>
      </w:pPr>
    </w:p>
    <w:p w14:paraId="26D6BF07" w14:textId="77777777" w:rsidR="00F95F16" w:rsidRPr="00B2528B" w:rsidRDefault="00F95F16" w:rsidP="00F95F16">
      <w:pPr>
        <w:rPr>
          <w:b/>
          <w:lang w:val="en-MY"/>
        </w:rPr>
      </w:pPr>
      <w:r w:rsidRPr="00B2528B">
        <w:rPr>
          <w:b/>
          <w:bCs/>
          <w:lang w:val="en-MY"/>
        </w:rPr>
        <w:t>Funding Information</w:t>
      </w:r>
      <w:r w:rsidRPr="00EC6C6C">
        <w:rPr>
          <w:bCs/>
          <w:lang w:val="en-MY"/>
        </w:rPr>
        <w:br/>
      </w:r>
    </w:p>
    <w:p w14:paraId="176B29C4" w14:textId="77777777" w:rsidR="00F95F16" w:rsidRPr="006B6371" w:rsidRDefault="00F95F16" w:rsidP="00F95F16">
      <w:pPr>
        <w:pStyle w:val="HeadingA"/>
        <w:tabs>
          <w:tab w:val="clear" w:pos="720"/>
        </w:tabs>
        <w:spacing w:before="0" w:after="0" w:line="240" w:lineRule="auto"/>
        <w:ind w:left="284" w:firstLine="0"/>
        <w:rPr>
          <w:b w:val="0"/>
          <w:bCs/>
          <w:lang w:val="en-MY"/>
        </w:rPr>
      </w:pPr>
      <w:r w:rsidRPr="00EC6C6C">
        <w:rPr>
          <w:b w:val="0"/>
          <w:bCs/>
          <w:lang w:val="en-MY"/>
        </w:rPr>
        <w:t>This research received no external funding</w:t>
      </w:r>
      <w:r>
        <w:rPr>
          <w:b w:val="0"/>
          <w:bCs/>
          <w:lang w:val="en-MY"/>
        </w:rPr>
        <w:t>.</w:t>
      </w:r>
    </w:p>
    <w:p w14:paraId="052DFCDA" w14:textId="77777777" w:rsidR="00F95F16" w:rsidRPr="00B2528B" w:rsidRDefault="00F95F16" w:rsidP="00F95F16">
      <w:pPr>
        <w:jc w:val="both"/>
        <w:rPr>
          <w:b/>
          <w:bCs/>
          <w:lang w:val="en-MY"/>
        </w:rPr>
      </w:pPr>
    </w:p>
    <w:p w14:paraId="5049F6F5" w14:textId="77777777" w:rsidR="00F95F16" w:rsidRPr="00B2528B" w:rsidRDefault="00F95F16" w:rsidP="00F95F16">
      <w:pPr>
        <w:jc w:val="both"/>
        <w:rPr>
          <w:b/>
          <w:lang w:val="en-MY"/>
        </w:rPr>
      </w:pPr>
      <w:r w:rsidRPr="00B2528B">
        <w:rPr>
          <w:b/>
          <w:bCs/>
          <w:lang w:val="en-MY"/>
        </w:rPr>
        <w:t>Ethics Approval</w:t>
      </w:r>
    </w:p>
    <w:p w14:paraId="409404F2" w14:textId="77777777" w:rsidR="00F95F16" w:rsidRPr="00B2528B" w:rsidRDefault="00F95F16" w:rsidP="00F95F16">
      <w:pPr>
        <w:jc w:val="both"/>
        <w:rPr>
          <w:b/>
          <w:lang w:val="en-MY"/>
        </w:rPr>
      </w:pPr>
    </w:p>
    <w:p w14:paraId="098E9FFE" w14:textId="77777777" w:rsidR="00F95F16" w:rsidRPr="00B2528B" w:rsidRDefault="00F95F16" w:rsidP="00F95F16">
      <w:pPr>
        <w:ind w:firstLine="284"/>
        <w:jc w:val="both"/>
        <w:rPr>
          <w:bCs/>
          <w:lang w:val="en-MY"/>
        </w:rPr>
      </w:pPr>
      <w:r w:rsidRPr="00B2528B">
        <w:rPr>
          <w:bCs/>
          <w:lang w:val="en-MY"/>
        </w:rPr>
        <w:t>Not applicable.</w:t>
      </w:r>
    </w:p>
    <w:p w14:paraId="3F9C9237" w14:textId="77777777" w:rsidR="00F95F16" w:rsidRDefault="00F95F16" w:rsidP="00F95F16">
      <w:pPr>
        <w:jc w:val="both"/>
        <w:rPr>
          <w:b/>
          <w:lang w:val="en-MY"/>
        </w:rPr>
      </w:pPr>
    </w:p>
    <w:p w14:paraId="74A211A2" w14:textId="77777777" w:rsidR="00F95F16" w:rsidRPr="007E285C" w:rsidRDefault="00F95F16" w:rsidP="00F95F16">
      <w:pPr>
        <w:jc w:val="both"/>
        <w:rPr>
          <w:b/>
        </w:rPr>
      </w:pPr>
      <w:r w:rsidRPr="007E285C">
        <w:rPr>
          <w:b/>
        </w:rPr>
        <w:t>Conflict of Interest</w:t>
      </w:r>
    </w:p>
    <w:p w14:paraId="088B62E6" w14:textId="77777777" w:rsidR="00F95F16" w:rsidRDefault="00F95F16" w:rsidP="00F95F16">
      <w:pPr>
        <w:ind w:firstLine="284"/>
        <w:jc w:val="both"/>
        <w:rPr>
          <w:bCs/>
        </w:rPr>
      </w:pPr>
    </w:p>
    <w:p w14:paraId="2C7BEDFE" w14:textId="77777777" w:rsidR="00F95F16" w:rsidRDefault="00F95F16" w:rsidP="00F95F16">
      <w:pPr>
        <w:ind w:firstLine="284"/>
        <w:jc w:val="both"/>
        <w:rPr>
          <w:bCs/>
        </w:rPr>
      </w:pPr>
      <w:r w:rsidRPr="007E285C">
        <w:rPr>
          <w:bCs/>
        </w:rPr>
        <w:t>Authors declare that there is no conflict of interests regarding the publication of the paper</w:t>
      </w:r>
      <w:r>
        <w:rPr>
          <w:bCs/>
        </w:rPr>
        <w:t>.</w:t>
      </w:r>
    </w:p>
    <w:p w14:paraId="3903D03C" w14:textId="77777777" w:rsidR="00692083" w:rsidRDefault="00692083" w:rsidP="00F95F16">
      <w:pPr>
        <w:jc w:val="both"/>
        <w:rPr>
          <w:b/>
          <w:bCs/>
          <w:lang w:val="en-MY"/>
        </w:rPr>
      </w:pPr>
    </w:p>
    <w:p w14:paraId="68FC8320" w14:textId="7B1D95AC" w:rsidR="00F95F16" w:rsidRPr="00F95F16" w:rsidRDefault="00F95F16" w:rsidP="00F95F16">
      <w:pPr>
        <w:jc w:val="both"/>
        <w:rPr>
          <w:bCs/>
        </w:rPr>
      </w:pPr>
      <w:r w:rsidRPr="00B2528B">
        <w:rPr>
          <w:b/>
          <w:bCs/>
          <w:lang w:val="en-MY"/>
        </w:rPr>
        <w:t>Author Contributions</w:t>
      </w:r>
    </w:p>
    <w:p w14:paraId="519DFE57" w14:textId="69B2285D" w:rsidR="008A4BA1" w:rsidRPr="008A4BA1" w:rsidRDefault="008A4BA1" w:rsidP="008A4BA1">
      <w:pPr>
        <w:keepNext/>
        <w:pBdr>
          <w:top w:val="nil"/>
          <w:left w:val="nil"/>
          <w:bottom w:val="nil"/>
          <w:right w:val="nil"/>
          <w:between w:val="nil"/>
        </w:pBdr>
        <w:rPr>
          <w:lang w:val="en-MY"/>
        </w:rPr>
      </w:pPr>
    </w:p>
    <w:p w14:paraId="35332E64" w14:textId="11C7E838" w:rsidR="008A4BA1" w:rsidRPr="008A4BA1" w:rsidRDefault="008A4BA1" w:rsidP="008A4BA1">
      <w:pPr>
        <w:keepNext/>
        <w:pBdr>
          <w:top w:val="nil"/>
          <w:left w:val="nil"/>
          <w:bottom w:val="nil"/>
          <w:right w:val="nil"/>
          <w:between w:val="nil"/>
        </w:pBdr>
        <w:ind w:firstLine="284"/>
        <w:rPr>
          <w:lang w:val="en-MY"/>
        </w:rPr>
      </w:pPr>
      <w:r w:rsidRPr="00F95F16">
        <w:t>Auwalu Mus</w:t>
      </w:r>
      <w:r>
        <w:t>a</w:t>
      </w:r>
      <w:r w:rsidRPr="008A4BA1">
        <w:rPr>
          <w:b/>
          <w:bCs/>
          <w:lang w:val="en-MY"/>
        </w:rPr>
        <w:t>:</w:t>
      </w:r>
      <w:r w:rsidRPr="008A4BA1">
        <w:rPr>
          <w:lang w:val="en-MY"/>
        </w:rPr>
        <w:t xml:space="preserve"> Conceptualization, Methodology, Writing – Original Draft Preparation.</w:t>
      </w:r>
    </w:p>
    <w:p w14:paraId="0787838E" w14:textId="57EA4A57" w:rsidR="008A4BA1" w:rsidRPr="008A4BA1" w:rsidRDefault="008A4BA1" w:rsidP="008A4BA1">
      <w:pPr>
        <w:keepNext/>
        <w:pBdr>
          <w:top w:val="nil"/>
          <w:left w:val="nil"/>
          <w:bottom w:val="nil"/>
          <w:right w:val="nil"/>
          <w:between w:val="nil"/>
        </w:pBdr>
        <w:ind w:firstLine="284"/>
        <w:rPr>
          <w:lang w:val="en-MY"/>
        </w:rPr>
      </w:pPr>
      <w:r w:rsidRPr="00F95F16">
        <w:t>Usman Ahmed Kum</w:t>
      </w:r>
      <w:r>
        <w:t>o</w:t>
      </w:r>
      <w:r w:rsidRPr="008A4BA1">
        <w:rPr>
          <w:b/>
          <w:bCs/>
          <w:lang w:val="en-MY"/>
        </w:rPr>
        <w:t>:</w:t>
      </w:r>
      <w:r w:rsidRPr="008A4BA1">
        <w:rPr>
          <w:lang w:val="en-MY"/>
        </w:rPr>
        <w:t xml:space="preserve"> Data Curation, Formal Analysis, Writing – Review &amp; Editing.</w:t>
      </w:r>
    </w:p>
    <w:p w14:paraId="74CE8E2A" w14:textId="005A7D43" w:rsidR="008A4BA1" w:rsidRPr="008A4BA1" w:rsidRDefault="008A4BA1" w:rsidP="008A4BA1">
      <w:pPr>
        <w:keepNext/>
        <w:pBdr>
          <w:top w:val="nil"/>
          <w:left w:val="nil"/>
          <w:bottom w:val="nil"/>
          <w:right w:val="nil"/>
          <w:between w:val="nil"/>
        </w:pBdr>
        <w:ind w:firstLine="284"/>
        <w:rPr>
          <w:lang w:val="en-MY"/>
        </w:rPr>
      </w:pPr>
      <w:proofErr w:type="spellStart"/>
      <w:r w:rsidRPr="00F95F16">
        <w:t>Fathilatul</w:t>
      </w:r>
      <w:proofErr w:type="spellEnd"/>
      <w:r w:rsidRPr="00F95F16">
        <w:t xml:space="preserve"> Zakimi Abdul Hami</w:t>
      </w:r>
      <w:r>
        <w:t>d</w:t>
      </w:r>
      <w:r w:rsidRPr="008A4BA1">
        <w:rPr>
          <w:b/>
          <w:bCs/>
          <w:lang w:val="en-MY"/>
        </w:rPr>
        <w:t>:</w:t>
      </w:r>
      <w:r w:rsidRPr="008A4BA1">
        <w:rPr>
          <w:lang w:val="en-MY"/>
        </w:rPr>
        <w:t xml:space="preserve"> Investigation, Validation, Visualization.</w:t>
      </w:r>
    </w:p>
    <w:p w14:paraId="3330C836" w14:textId="2C759EB8" w:rsidR="008A4BA1" w:rsidRPr="008A4BA1" w:rsidRDefault="008A4BA1" w:rsidP="008A4BA1">
      <w:pPr>
        <w:keepNext/>
        <w:pBdr>
          <w:top w:val="nil"/>
          <w:left w:val="nil"/>
          <w:bottom w:val="nil"/>
          <w:right w:val="nil"/>
          <w:between w:val="nil"/>
        </w:pBdr>
        <w:ind w:firstLine="284"/>
        <w:rPr>
          <w:lang w:val="en-MY"/>
        </w:rPr>
      </w:pPr>
      <w:r w:rsidRPr="00F95F16">
        <w:t>Mohd Hadafi Sahda</w:t>
      </w:r>
      <w:r>
        <w:t>n</w:t>
      </w:r>
      <w:r w:rsidRPr="008A4BA1">
        <w:rPr>
          <w:b/>
          <w:bCs/>
          <w:lang w:val="en-MY"/>
        </w:rPr>
        <w:t>:</w:t>
      </w:r>
      <w:r w:rsidRPr="008A4BA1">
        <w:rPr>
          <w:lang w:val="en-MY"/>
        </w:rPr>
        <w:t xml:space="preserve"> Supervision, Project Administration, Funding Acquisition.</w:t>
      </w:r>
    </w:p>
    <w:p w14:paraId="3A22CEA4" w14:textId="77777777" w:rsidR="00F95F16" w:rsidRDefault="00F95F16" w:rsidP="00F95F16">
      <w:pPr>
        <w:jc w:val="both"/>
        <w:rPr>
          <w:b/>
          <w:lang w:val="en-MY"/>
        </w:rPr>
      </w:pPr>
    </w:p>
    <w:p w14:paraId="6954323C" w14:textId="77777777" w:rsidR="00F95F16" w:rsidRPr="00B2528B" w:rsidRDefault="00F95F16" w:rsidP="00F95F16">
      <w:pPr>
        <w:jc w:val="both"/>
        <w:rPr>
          <w:b/>
          <w:lang w:val="en-MY"/>
        </w:rPr>
      </w:pPr>
      <w:r w:rsidRPr="00B2528B">
        <w:rPr>
          <w:b/>
          <w:bCs/>
          <w:lang w:val="en-MY"/>
        </w:rPr>
        <w:t>Disclosure of AI Use</w:t>
      </w:r>
    </w:p>
    <w:p w14:paraId="5E18291F" w14:textId="77777777" w:rsidR="00F95F16" w:rsidRPr="00B2528B" w:rsidRDefault="00F95F16" w:rsidP="00F95F16">
      <w:pPr>
        <w:jc w:val="both"/>
        <w:rPr>
          <w:b/>
          <w:lang w:val="en-MY"/>
        </w:rPr>
      </w:pPr>
    </w:p>
    <w:p w14:paraId="5FEE77BB" w14:textId="77777777" w:rsidR="00F95F16" w:rsidRPr="00B2528B" w:rsidRDefault="00F95F16" w:rsidP="00F95F16">
      <w:pPr>
        <w:ind w:firstLine="284"/>
        <w:jc w:val="both"/>
        <w:rPr>
          <w:bCs/>
          <w:lang w:val="en-MY"/>
        </w:rPr>
      </w:pPr>
      <w:r w:rsidRPr="00B2528B">
        <w:rPr>
          <w:bCs/>
          <w:lang w:val="en-MY"/>
        </w:rPr>
        <w:t>AI tools were not used in the preparation of this manuscript.</w:t>
      </w:r>
    </w:p>
    <w:p w14:paraId="5A74293C" w14:textId="77777777" w:rsidR="00F95F16" w:rsidRDefault="00F95F16" w:rsidP="00F95F16">
      <w:pPr>
        <w:jc w:val="both"/>
        <w:rPr>
          <w:b/>
        </w:rPr>
      </w:pPr>
    </w:p>
    <w:p w14:paraId="355EB6A5" w14:textId="77777777" w:rsidR="00F95F16" w:rsidRPr="007E285C" w:rsidRDefault="00F95F16" w:rsidP="00F95F16">
      <w:pPr>
        <w:jc w:val="both"/>
        <w:rPr>
          <w:b/>
        </w:rPr>
      </w:pPr>
      <w:r w:rsidRPr="007E285C">
        <w:rPr>
          <w:b/>
        </w:rPr>
        <w:t>Acknowledgement</w:t>
      </w:r>
    </w:p>
    <w:p w14:paraId="0D91953C" w14:textId="77777777" w:rsidR="00F95F16" w:rsidRDefault="00F95F16" w:rsidP="00F95F16">
      <w:pPr>
        <w:ind w:firstLine="284"/>
        <w:jc w:val="both"/>
        <w:rPr>
          <w:bCs/>
        </w:rPr>
      </w:pPr>
    </w:p>
    <w:p w14:paraId="2C82936B" w14:textId="71D479B3" w:rsidR="007832A6" w:rsidRPr="00F95F16" w:rsidRDefault="00F95F16" w:rsidP="00F95F16">
      <w:pPr>
        <w:spacing w:line="276" w:lineRule="auto"/>
        <w:ind w:firstLine="284"/>
        <w:jc w:val="both"/>
        <w:rPr>
          <w:lang w:val="en-US" w:eastAsia="en-MY"/>
        </w:rPr>
      </w:pPr>
      <w:r w:rsidRPr="00190F7C">
        <w:rPr>
          <w:lang w:val="en-US" w:eastAsia="en-MY"/>
        </w:rPr>
        <w:t xml:space="preserve">The authors would like to acknowledge the support of </w:t>
      </w:r>
      <w:proofErr w:type="spellStart"/>
      <w:r w:rsidRPr="00190F7C">
        <w:rPr>
          <w:lang w:val="en-US" w:eastAsia="en-MY"/>
        </w:rPr>
        <w:t>Tunku</w:t>
      </w:r>
      <w:proofErr w:type="spellEnd"/>
      <w:r w:rsidRPr="00190F7C">
        <w:rPr>
          <w:lang w:val="en-US" w:eastAsia="en-MY"/>
        </w:rPr>
        <w:t xml:space="preserve"> Puteri Intan </w:t>
      </w:r>
      <w:proofErr w:type="spellStart"/>
      <w:r w:rsidRPr="00190F7C">
        <w:rPr>
          <w:lang w:val="en-US" w:eastAsia="en-MY"/>
        </w:rPr>
        <w:t>Safinaz</w:t>
      </w:r>
      <w:proofErr w:type="spellEnd"/>
      <w:r w:rsidRPr="00190F7C">
        <w:rPr>
          <w:lang w:val="en-US" w:eastAsia="en-MY"/>
        </w:rPr>
        <w:t xml:space="preserve"> (TISSA), Universiti Utara Malaysia (UUM), for providing the facilities that help in conducting this research.</w:t>
      </w:r>
    </w:p>
    <w:p w14:paraId="44445C88" w14:textId="77777777" w:rsidR="007832A6" w:rsidRPr="00B26437" w:rsidRDefault="007832A6" w:rsidP="0034382C">
      <w:pPr>
        <w:pBdr>
          <w:top w:val="nil"/>
          <w:left w:val="nil"/>
          <w:bottom w:val="nil"/>
          <w:right w:val="nil"/>
          <w:between w:val="nil"/>
        </w:pBdr>
        <w:ind w:firstLine="284"/>
        <w:rPr>
          <w:bCs/>
          <w:color w:val="000000"/>
          <w:lang w:val="en-MY"/>
        </w:rPr>
      </w:pPr>
    </w:p>
    <w:p w14:paraId="7402010F" w14:textId="266FAFC1" w:rsidR="004746FA" w:rsidRPr="00831CE6" w:rsidRDefault="007C3AC6" w:rsidP="00F34512">
      <w:pPr>
        <w:pBdr>
          <w:top w:val="nil"/>
          <w:left w:val="nil"/>
          <w:bottom w:val="nil"/>
          <w:right w:val="nil"/>
          <w:between w:val="nil"/>
        </w:pBdr>
        <w:rPr>
          <w:b/>
          <w:color w:val="000000"/>
        </w:rPr>
      </w:pPr>
      <w:r>
        <w:rPr>
          <w:b/>
          <w:color w:val="000000"/>
        </w:rPr>
        <w:t>References</w:t>
      </w:r>
    </w:p>
    <w:p w14:paraId="12154359" w14:textId="77777777" w:rsidR="00E74BA7" w:rsidRDefault="00E74BA7" w:rsidP="0002343C">
      <w:pPr>
        <w:widowControl w:val="0"/>
        <w:pBdr>
          <w:top w:val="nil"/>
          <w:left w:val="nil"/>
          <w:bottom w:val="nil"/>
          <w:right w:val="nil"/>
          <w:between w:val="nil"/>
        </w:pBdr>
        <w:jc w:val="both"/>
        <w:rPr>
          <w:color w:val="000000"/>
        </w:rPr>
      </w:pPr>
    </w:p>
    <w:p w14:paraId="13809484"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Abdul Latif, R., </w:t>
      </w:r>
      <w:proofErr w:type="spellStart"/>
      <w:r w:rsidRPr="00484AD1">
        <w:rPr>
          <w:color w:val="000000"/>
          <w:lang w:val="en-MY"/>
        </w:rPr>
        <w:t>Taufil</w:t>
      </w:r>
      <w:proofErr w:type="spellEnd"/>
      <w:r w:rsidRPr="00484AD1">
        <w:rPr>
          <w:color w:val="000000"/>
          <w:lang w:val="en-MY"/>
        </w:rPr>
        <w:t xml:space="preserve"> Mohd, K. N., </w:t>
      </w:r>
      <w:proofErr w:type="spellStart"/>
      <w:r w:rsidRPr="00484AD1">
        <w:rPr>
          <w:color w:val="000000"/>
          <w:lang w:val="en-MY"/>
        </w:rPr>
        <w:t>Kamardin</w:t>
      </w:r>
      <w:proofErr w:type="spellEnd"/>
      <w:r w:rsidRPr="00484AD1">
        <w:rPr>
          <w:color w:val="000000"/>
          <w:lang w:val="en-MY"/>
        </w:rPr>
        <w:t xml:space="preserve">, H., &amp; Mohd Ariff, A. H. (2023). Determinants of sustainability disclosure quality among plantation companies in Malaysia. </w:t>
      </w:r>
      <w:r w:rsidRPr="00484AD1">
        <w:rPr>
          <w:i/>
          <w:iCs/>
          <w:color w:val="000000"/>
          <w:lang w:val="en-MY"/>
        </w:rPr>
        <w:t>Sustainability, 15</w:t>
      </w:r>
      <w:r w:rsidRPr="00484AD1">
        <w:rPr>
          <w:color w:val="000000"/>
          <w:lang w:val="en-MY"/>
        </w:rPr>
        <w:t xml:space="preserve">(4), 3799. </w:t>
      </w:r>
      <w:hyperlink r:id="rId10" w:history="1">
        <w:r w:rsidRPr="00484AD1">
          <w:rPr>
            <w:rStyle w:val="Hyperlink"/>
            <w:sz w:val="20"/>
            <w:lang w:val="en-MY"/>
          </w:rPr>
          <w:t>https://doi.org/10.3390/su15043799</w:t>
        </w:r>
      </w:hyperlink>
    </w:p>
    <w:p w14:paraId="46CE53A9"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Aksoy, M., Yilmaz, M. K., </w:t>
      </w:r>
      <w:proofErr w:type="spellStart"/>
      <w:r w:rsidRPr="00484AD1">
        <w:rPr>
          <w:color w:val="000000"/>
          <w:lang w:val="en-MY"/>
        </w:rPr>
        <w:t>Tatoglu</w:t>
      </w:r>
      <w:proofErr w:type="spellEnd"/>
      <w:r w:rsidRPr="00484AD1">
        <w:rPr>
          <w:color w:val="000000"/>
          <w:lang w:val="en-MY"/>
        </w:rPr>
        <w:t xml:space="preserve">, E., &amp; Basar, M. (2020). Antecedents of corporate sustainability performance in Turkey: The effects of ownership structure and board attributes on non-financial companies. </w:t>
      </w:r>
      <w:r w:rsidRPr="00484AD1">
        <w:rPr>
          <w:i/>
          <w:iCs/>
          <w:color w:val="000000"/>
          <w:lang w:val="en-MY"/>
        </w:rPr>
        <w:t>Journal of Cleaner Production, 276</w:t>
      </w:r>
      <w:r w:rsidRPr="00484AD1">
        <w:rPr>
          <w:color w:val="000000"/>
          <w:lang w:val="en-MY"/>
        </w:rPr>
        <w:t xml:space="preserve">, 124284. </w:t>
      </w:r>
      <w:hyperlink r:id="rId11" w:history="1">
        <w:r w:rsidRPr="00484AD1">
          <w:rPr>
            <w:rStyle w:val="Hyperlink"/>
            <w:sz w:val="20"/>
            <w:lang w:val="en-MY"/>
          </w:rPr>
          <w:t>https://doi.org/10.1016/j.jclepro.2020.124284</w:t>
        </w:r>
      </w:hyperlink>
    </w:p>
    <w:p w14:paraId="746C4DB6"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Amran, A., &amp; </w:t>
      </w:r>
      <w:proofErr w:type="spellStart"/>
      <w:r w:rsidRPr="00484AD1">
        <w:rPr>
          <w:color w:val="000000"/>
          <w:lang w:val="en-MY"/>
        </w:rPr>
        <w:t>Haniffa</w:t>
      </w:r>
      <w:proofErr w:type="spellEnd"/>
      <w:r w:rsidRPr="00484AD1">
        <w:rPr>
          <w:color w:val="000000"/>
          <w:lang w:val="en-MY"/>
        </w:rPr>
        <w:t xml:space="preserve">, R. (2011). Evidence in development of sustainability reporting: A case of a developing country. </w:t>
      </w:r>
      <w:r w:rsidRPr="00484AD1">
        <w:rPr>
          <w:i/>
          <w:iCs/>
          <w:color w:val="000000"/>
          <w:lang w:val="en-MY"/>
        </w:rPr>
        <w:t>Business Strategy and the Environment, 20</w:t>
      </w:r>
      <w:r w:rsidRPr="00484AD1">
        <w:rPr>
          <w:color w:val="000000"/>
          <w:lang w:val="en-MY"/>
        </w:rPr>
        <w:t xml:space="preserve">(3), 141–156. </w:t>
      </w:r>
      <w:hyperlink r:id="rId12" w:history="1">
        <w:r w:rsidRPr="00484AD1">
          <w:rPr>
            <w:rStyle w:val="Hyperlink"/>
            <w:sz w:val="20"/>
            <w:lang w:val="en-MY"/>
          </w:rPr>
          <w:t>https://doi.org/10.1002/bse.672</w:t>
        </w:r>
      </w:hyperlink>
    </w:p>
    <w:p w14:paraId="79EE3EB8"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Ayyagari, M., </w:t>
      </w:r>
      <w:proofErr w:type="spellStart"/>
      <w:r w:rsidRPr="00484AD1">
        <w:rPr>
          <w:color w:val="000000"/>
          <w:lang w:val="en-MY"/>
        </w:rPr>
        <w:t>Demirgüç</w:t>
      </w:r>
      <w:proofErr w:type="spellEnd"/>
      <w:r w:rsidRPr="00484AD1">
        <w:rPr>
          <w:color w:val="000000"/>
          <w:lang w:val="en-MY"/>
        </w:rPr>
        <w:t xml:space="preserve">-Kunt, A., &amp; Maksimovic, V. (2008). How important are financing constraints? The role of finance in the business environment. </w:t>
      </w:r>
      <w:r w:rsidRPr="00484AD1">
        <w:rPr>
          <w:i/>
          <w:iCs/>
          <w:color w:val="000000"/>
          <w:lang w:val="en-MY"/>
        </w:rPr>
        <w:t>The World Bank Economic Review, 22</w:t>
      </w:r>
      <w:r w:rsidRPr="00484AD1">
        <w:rPr>
          <w:color w:val="000000"/>
          <w:lang w:val="en-MY"/>
        </w:rPr>
        <w:t xml:space="preserve">(3), 483–516. </w:t>
      </w:r>
      <w:hyperlink r:id="rId13" w:history="1">
        <w:r w:rsidRPr="00484AD1">
          <w:rPr>
            <w:rStyle w:val="Hyperlink"/>
            <w:sz w:val="20"/>
            <w:lang w:val="en-MY"/>
          </w:rPr>
          <w:t>https://doi.org/10.1093/wber/lhn018</w:t>
        </w:r>
      </w:hyperlink>
    </w:p>
    <w:p w14:paraId="43E8FF92"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Beck, T., </w:t>
      </w:r>
      <w:proofErr w:type="spellStart"/>
      <w:r w:rsidRPr="00484AD1">
        <w:rPr>
          <w:color w:val="000000"/>
          <w:lang w:val="en-MY"/>
        </w:rPr>
        <w:t>Demirgüç</w:t>
      </w:r>
      <w:proofErr w:type="spellEnd"/>
      <w:r w:rsidRPr="00484AD1">
        <w:rPr>
          <w:color w:val="000000"/>
          <w:lang w:val="en-MY"/>
        </w:rPr>
        <w:t xml:space="preserve">-Kunt, A., &amp; Honohan, P. (2009). Access to financial services: Measurement, impact, and policies. </w:t>
      </w:r>
      <w:r w:rsidRPr="00484AD1">
        <w:rPr>
          <w:i/>
          <w:iCs/>
          <w:color w:val="000000"/>
          <w:lang w:val="en-MY"/>
        </w:rPr>
        <w:t>The World Bank Research Observer, 24</w:t>
      </w:r>
      <w:r w:rsidRPr="00484AD1">
        <w:rPr>
          <w:color w:val="000000"/>
          <w:lang w:val="en-MY"/>
        </w:rPr>
        <w:t xml:space="preserve">(1), 119–145. </w:t>
      </w:r>
      <w:hyperlink r:id="rId14" w:history="1">
        <w:r w:rsidRPr="00484AD1">
          <w:rPr>
            <w:rStyle w:val="Hyperlink"/>
            <w:sz w:val="20"/>
            <w:lang w:val="en-MY"/>
          </w:rPr>
          <w:t>https://doi.org/10.1093/wbro/lkn008</w:t>
        </w:r>
      </w:hyperlink>
    </w:p>
    <w:p w14:paraId="5CA15F13"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Benson, D., &amp; Jordan, A. (2015). Environmental policy: Protection and regulation. In J. D. Wright (Ed.), </w:t>
      </w:r>
      <w:r w:rsidRPr="00484AD1">
        <w:rPr>
          <w:i/>
          <w:iCs/>
          <w:color w:val="000000"/>
          <w:lang w:val="en-MY"/>
        </w:rPr>
        <w:t xml:space="preserve">International </w:t>
      </w:r>
      <w:proofErr w:type="spellStart"/>
      <w:r w:rsidRPr="00484AD1">
        <w:rPr>
          <w:i/>
          <w:iCs/>
          <w:color w:val="000000"/>
          <w:lang w:val="en-MY"/>
        </w:rPr>
        <w:t>encyclopedia</w:t>
      </w:r>
      <w:proofErr w:type="spellEnd"/>
      <w:r w:rsidRPr="00484AD1">
        <w:rPr>
          <w:i/>
          <w:iCs/>
          <w:color w:val="000000"/>
          <w:lang w:val="en-MY"/>
        </w:rPr>
        <w:t xml:space="preserve"> of the social &amp; </w:t>
      </w:r>
      <w:proofErr w:type="spellStart"/>
      <w:r w:rsidRPr="00484AD1">
        <w:rPr>
          <w:i/>
          <w:iCs/>
          <w:color w:val="000000"/>
          <w:lang w:val="en-MY"/>
        </w:rPr>
        <w:t>behavioral</w:t>
      </w:r>
      <w:proofErr w:type="spellEnd"/>
      <w:r w:rsidRPr="00484AD1">
        <w:rPr>
          <w:i/>
          <w:iCs/>
          <w:color w:val="000000"/>
          <w:lang w:val="en-MY"/>
        </w:rPr>
        <w:t xml:space="preserve"> sciences</w:t>
      </w:r>
      <w:r w:rsidRPr="00484AD1">
        <w:rPr>
          <w:color w:val="000000"/>
          <w:lang w:val="en-MY"/>
        </w:rPr>
        <w:t xml:space="preserve"> (2nd ed., pp. 778–783). Elsevier. </w:t>
      </w:r>
      <w:hyperlink r:id="rId15" w:history="1">
        <w:r w:rsidRPr="00484AD1">
          <w:rPr>
            <w:rStyle w:val="Hyperlink"/>
            <w:sz w:val="20"/>
            <w:lang w:val="en-MY"/>
          </w:rPr>
          <w:t>https://doi.org/10.1016/B978-0-08-097086-8.91014-6</w:t>
        </w:r>
      </w:hyperlink>
    </w:p>
    <w:p w14:paraId="2B825B5C" w14:textId="77777777" w:rsidR="00484AD1" w:rsidRDefault="00484AD1" w:rsidP="00484AD1">
      <w:pPr>
        <w:widowControl w:val="0"/>
        <w:pBdr>
          <w:top w:val="nil"/>
          <w:left w:val="nil"/>
          <w:bottom w:val="nil"/>
          <w:right w:val="nil"/>
          <w:between w:val="nil"/>
        </w:pBdr>
        <w:ind w:left="567" w:hanging="567"/>
        <w:jc w:val="both"/>
        <w:rPr>
          <w:color w:val="000000"/>
          <w:lang w:val="en-MY"/>
        </w:rPr>
      </w:pPr>
    </w:p>
    <w:p w14:paraId="2F205852" w14:textId="77777777" w:rsidR="00484AD1" w:rsidRDefault="00484AD1" w:rsidP="00484AD1">
      <w:pPr>
        <w:widowControl w:val="0"/>
        <w:pBdr>
          <w:top w:val="nil"/>
          <w:left w:val="nil"/>
          <w:bottom w:val="nil"/>
          <w:right w:val="nil"/>
          <w:between w:val="nil"/>
        </w:pBdr>
        <w:ind w:left="567" w:hanging="567"/>
        <w:jc w:val="both"/>
        <w:rPr>
          <w:color w:val="000000"/>
          <w:lang w:val="en-MY"/>
        </w:rPr>
      </w:pPr>
    </w:p>
    <w:p w14:paraId="35C95058" w14:textId="42F7951D"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Blanco-Portela, N., R-Pertierra, L., Benayas, J., &amp; Lozano, R. (2018). Sustainability leaders’ perceptions on the drivers for and the barriers to the integration of sustainability in Latin American higher education institutions. </w:t>
      </w:r>
      <w:r w:rsidRPr="00484AD1">
        <w:rPr>
          <w:i/>
          <w:iCs/>
          <w:color w:val="000000"/>
          <w:lang w:val="en-MY"/>
        </w:rPr>
        <w:t>Sustainability, 10</w:t>
      </w:r>
      <w:r w:rsidRPr="00484AD1">
        <w:rPr>
          <w:color w:val="000000"/>
          <w:lang w:val="en-MY"/>
        </w:rPr>
        <w:t xml:space="preserve">(8), 2954. </w:t>
      </w:r>
      <w:hyperlink r:id="rId16" w:history="1">
        <w:r w:rsidRPr="00484AD1">
          <w:rPr>
            <w:rStyle w:val="Hyperlink"/>
            <w:sz w:val="20"/>
            <w:lang w:val="en-MY"/>
          </w:rPr>
          <w:t>https://doi.org/10.3390/su10082954</w:t>
        </w:r>
      </w:hyperlink>
    </w:p>
    <w:p w14:paraId="071BFDCA"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Bradshaw, C. J. A., Ehrlich, P. R., Beattie, A., Ceballos, G., Crist, E., Diamond, J., Dirzo, R., Ehrlich, A. H., Harte, J., Harte, M. E., Pyke, G., Raven, P. H., Ripple, W. J., </w:t>
      </w:r>
      <w:proofErr w:type="spellStart"/>
      <w:r w:rsidRPr="00484AD1">
        <w:rPr>
          <w:color w:val="000000"/>
          <w:lang w:val="en-MY"/>
        </w:rPr>
        <w:t>Saltré</w:t>
      </w:r>
      <w:proofErr w:type="spellEnd"/>
      <w:r w:rsidRPr="00484AD1">
        <w:rPr>
          <w:color w:val="000000"/>
          <w:lang w:val="en-MY"/>
        </w:rPr>
        <w:t xml:space="preserve">, F., Turnbull, C., Wackernagel, M., &amp; Blumstein, D. T. (2021). Underestimating the challenges of avoiding a ghastly future. </w:t>
      </w:r>
      <w:r w:rsidRPr="00484AD1">
        <w:rPr>
          <w:i/>
          <w:iCs/>
          <w:color w:val="000000"/>
          <w:lang w:val="en-MY"/>
        </w:rPr>
        <w:t>Frontiers in Conservation Science, 1</w:t>
      </w:r>
      <w:r w:rsidRPr="00484AD1">
        <w:rPr>
          <w:color w:val="000000"/>
          <w:lang w:val="en-MY"/>
        </w:rPr>
        <w:t xml:space="preserve">, 615419. </w:t>
      </w:r>
      <w:hyperlink r:id="rId17" w:history="1">
        <w:r w:rsidRPr="00484AD1">
          <w:rPr>
            <w:rStyle w:val="Hyperlink"/>
            <w:sz w:val="20"/>
            <w:lang w:val="en-MY"/>
          </w:rPr>
          <w:t>https://doi.org/10.3389/fcosc.2020.615419</w:t>
        </w:r>
      </w:hyperlink>
    </w:p>
    <w:p w14:paraId="57E3DC3D"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Bueren, E. van. (2019). Environmental policy. In </w:t>
      </w:r>
      <w:r w:rsidRPr="00484AD1">
        <w:rPr>
          <w:i/>
          <w:iCs/>
          <w:color w:val="000000"/>
          <w:lang w:val="en-MY"/>
        </w:rPr>
        <w:t>Encyclopaedia Britannica</w:t>
      </w:r>
      <w:r w:rsidRPr="00484AD1">
        <w:rPr>
          <w:color w:val="000000"/>
          <w:lang w:val="en-MY"/>
        </w:rPr>
        <w:t xml:space="preserve">. </w:t>
      </w:r>
      <w:hyperlink r:id="rId18" w:history="1">
        <w:r w:rsidRPr="00484AD1">
          <w:rPr>
            <w:rStyle w:val="Hyperlink"/>
            <w:sz w:val="20"/>
            <w:lang w:val="en-MY"/>
          </w:rPr>
          <w:t>https://www.britannica.com/topic/environmental-policy</w:t>
        </w:r>
      </w:hyperlink>
    </w:p>
    <w:p w14:paraId="5B84F04B"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Camilleri, M. A. (2017). Corporate sustainability and responsibility: Creating value for business, society and the environment. </w:t>
      </w:r>
      <w:r w:rsidRPr="00484AD1">
        <w:rPr>
          <w:i/>
          <w:iCs/>
          <w:color w:val="000000"/>
          <w:lang w:val="en-MY"/>
        </w:rPr>
        <w:t>Asian Journal of Sustainability and Social Responsibility, 2</w:t>
      </w:r>
      <w:r w:rsidRPr="00484AD1">
        <w:rPr>
          <w:color w:val="000000"/>
          <w:lang w:val="en-MY"/>
        </w:rPr>
        <w:t xml:space="preserve">(1), 59–74. </w:t>
      </w:r>
      <w:hyperlink r:id="rId19" w:history="1">
        <w:r w:rsidRPr="00484AD1">
          <w:rPr>
            <w:rStyle w:val="Hyperlink"/>
            <w:sz w:val="20"/>
            <w:lang w:val="en-MY"/>
          </w:rPr>
          <w:t>https://doi.org/10.1186/s41180-017-0016-5</w:t>
        </w:r>
      </w:hyperlink>
    </w:p>
    <w:p w14:paraId="160348D0"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Cao, J. (2017). Drivers and constraints for adopting sustainability standards in small and medium-sized enterprises (SMEs) and the demand for finance: A Chinese case study. In </w:t>
      </w:r>
      <w:r w:rsidRPr="00484AD1">
        <w:rPr>
          <w:i/>
          <w:iCs/>
          <w:color w:val="000000"/>
          <w:lang w:val="en-MY"/>
        </w:rPr>
        <w:t>Drivers and constraints for adopting sustainability standards in small and medium-sized enterprises (SMEs) and the demand for finance: Case studies from Brazil, China, India, Indonesia and South Africa</w:t>
      </w:r>
      <w:r w:rsidRPr="00484AD1">
        <w:rPr>
          <w:color w:val="000000"/>
          <w:lang w:val="en-MY"/>
        </w:rPr>
        <w:t xml:space="preserve"> (pp. 29–44).</w:t>
      </w:r>
    </w:p>
    <w:p w14:paraId="170D05B1"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Ching, H. Y., </w:t>
      </w:r>
      <w:proofErr w:type="spellStart"/>
      <w:r w:rsidRPr="00484AD1">
        <w:rPr>
          <w:color w:val="000000"/>
          <w:lang w:val="en-MY"/>
        </w:rPr>
        <w:t>Gerab</w:t>
      </w:r>
      <w:proofErr w:type="spellEnd"/>
      <w:r w:rsidRPr="00484AD1">
        <w:rPr>
          <w:color w:val="000000"/>
          <w:lang w:val="en-MY"/>
        </w:rPr>
        <w:t xml:space="preserve">, F., &amp; Toste, T. H. (2017). The quality of sustainability reports and corporate financial performance: Evidence from Brazilian listed companies. </w:t>
      </w:r>
      <w:r w:rsidRPr="00484AD1">
        <w:rPr>
          <w:i/>
          <w:iCs/>
          <w:color w:val="000000"/>
          <w:lang w:val="en-MY"/>
        </w:rPr>
        <w:t>SAGE Open, 7</w:t>
      </w:r>
      <w:r w:rsidRPr="00484AD1">
        <w:rPr>
          <w:color w:val="000000"/>
          <w:lang w:val="en-MY"/>
        </w:rPr>
        <w:t xml:space="preserve">(2). </w:t>
      </w:r>
      <w:hyperlink r:id="rId20" w:history="1">
        <w:r w:rsidRPr="00484AD1">
          <w:rPr>
            <w:rStyle w:val="Hyperlink"/>
            <w:sz w:val="20"/>
            <w:lang w:val="en-MY"/>
          </w:rPr>
          <w:t>https://doi.org/10.1177/2158244017712027</w:t>
        </w:r>
      </w:hyperlink>
    </w:p>
    <w:p w14:paraId="69A01EA1"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Christofi, A., Christofi, P., &amp; Sisaye, S. (2012). Corporate sustainability: Historical development and reporting practices. </w:t>
      </w:r>
      <w:r w:rsidRPr="00484AD1">
        <w:rPr>
          <w:i/>
          <w:iCs/>
          <w:color w:val="000000"/>
          <w:lang w:val="en-MY"/>
        </w:rPr>
        <w:t>Management Research Review, 35</w:t>
      </w:r>
      <w:r w:rsidRPr="00484AD1">
        <w:rPr>
          <w:color w:val="000000"/>
          <w:lang w:val="en-MY"/>
        </w:rPr>
        <w:t>(2), 157–172.</w:t>
      </w:r>
    </w:p>
    <w:p w14:paraId="3EC403B2"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Coelho, A. M., &amp; Nunes, M. D. O. (2017). Drivers and constraints for adopting sustainability standards in small and medium-sized enterprises (SMEs) and the demand for finance: A Brazilian case study. In </w:t>
      </w:r>
      <w:r w:rsidRPr="00484AD1">
        <w:rPr>
          <w:i/>
          <w:iCs/>
          <w:color w:val="000000"/>
          <w:lang w:val="en-MY"/>
        </w:rPr>
        <w:t>Drivers and constraints for adopting sustainability standards in small and medium-sized enterprises (SMEs) and the demand for finance: Case studies from Brazil, China, India, Indonesia and South Africa</w:t>
      </w:r>
      <w:r w:rsidRPr="00484AD1">
        <w:rPr>
          <w:color w:val="000000"/>
          <w:lang w:val="en-MY"/>
        </w:rPr>
        <w:t xml:space="preserve"> (pp. 11–28).</w:t>
      </w:r>
    </w:p>
    <w:p w14:paraId="00CE8B26"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Crisóstomo, V. L., Freire, F. de S., &amp; Freitas, M. R. D. O. (2020). Determinants of corporate sustainability performance: Evidence from Brazilian panel data. </w:t>
      </w:r>
      <w:r w:rsidRPr="00484AD1">
        <w:rPr>
          <w:i/>
          <w:iCs/>
          <w:color w:val="000000"/>
          <w:lang w:val="en-MY"/>
        </w:rPr>
        <w:t>Social Responsibility Journal, 16</w:t>
      </w:r>
      <w:r w:rsidRPr="00484AD1">
        <w:rPr>
          <w:color w:val="000000"/>
          <w:lang w:val="en-MY"/>
        </w:rPr>
        <w:t xml:space="preserve">(8), 1053–1072. </w:t>
      </w:r>
      <w:hyperlink r:id="rId21" w:history="1">
        <w:r w:rsidRPr="00484AD1">
          <w:rPr>
            <w:rStyle w:val="Hyperlink"/>
            <w:sz w:val="20"/>
            <w:lang w:val="en-MY"/>
          </w:rPr>
          <w:t>https://doi.org/10.1108/SRJ-04-2018-0102</w:t>
        </w:r>
      </w:hyperlink>
    </w:p>
    <w:p w14:paraId="0EBCEF39"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DiMaggio, P. J., &amp; Powell, W. W. (2000). The iron cage revisited: Institutional isomorphism and collective rationality in organizational fields. In </w:t>
      </w:r>
      <w:r w:rsidRPr="00484AD1">
        <w:rPr>
          <w:i/>
          <w:iCs/>
          <w:color w:val="000000"/>
          <w:lang w:val="en-MY"/>
        </w:rPr>
        <w:t>Advances in strategic management</w:t>
      </w:r>
      <w:r w:rsidRPr="00484AD1">
        <w:rPr>
          <w:color w:val="000000"/>
          <w:lang w:val="en-MY"/>
        </w:rPr>
        <w:t xml:space="preserve"> (Vol. 17, pp. 143–166). Elsevier. </w:t>
      </w:r>
      <w:hyperlink r:id="rId22" w:history="1">
        <w:r w:rsidRPr="00484AD1">
          <w:rPr>
            <w:rStyle w:val="Hyperlink"/>
            <w:sz w:val="20"/>
            <w:lang w:val="en-MY"/>
          </w:rPr>
          <w:t>https://doi.org/10.1016/S0742-3322(00)17011-1</w:t>
        </w:r>
      </w:hyperlink>
    </w:p>
    <w:p w14:paraId="01321CF4"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proofErr w:type="spellStart"/>
      <w:r w:rsidRPr="00484AD1">
        <w:rPr>
          <w:color w:val="000000"/>
          <w:lang w:val="en-MY"/>
        </w:rPr>
        <w:t>Elijido</w:t>
      </w:r>
      <w:proofErr w:type="spellEnd"/>
      <w:r w:rsidRPr="00484AD1">
        <w:rPr>
          <w:color w:val="000000"/>
          <w:lang w:val="en-MY"/>
        </w:rPr>
        <w:t xml:space="preserve">-Ten, E. O., &amp; Tjan, Y. (2014). Sustainability balanced scorecard disclosures and corporate commitment to sustainability: An Australian study. </w:t>
      </w:r>
      <w:r w:rsidRPr="00484AD1">
        <w:rPr>
          <w:i/>
          <w:iCs/>
          <w:color w:val="000000"/>
          <w:lang w:val="en-MY"/>
        </w:rPr>
        <w:t>Issues in Social and Environmental Accounting, 8</w:t>
      </w:r>
      <w:r w:rsidRPr="00484AD1">
        <w:rPr>
          <w:color w:val="000000"/>
          <w:lang w:val="en-MY"/>
        </w:rPr>
        <w:t xml:space="preserve">(4), 185. </w:t>
      </w:r>
      <w:hyperlink r:id="rId23" w:history="1">
        <w:r w:rsidRPr="00484AD1">
          <w:rPr>
            <w:rStyle w:val="Hyperlink"/>
            <w:sz w:val="20"/>
            <w:lang w:val="en-MY"/>
          </w:rPr>
          <w:t>https://doi.org/10.22164/isea.v8i4.93</w:t>
        </w:r>
      </w:hyperlink>
    </w:p>
    <w:p w14:paraId="7A8D60F1"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Ferrando, A., &amp; Ruggieri, A. (2018). Financial constraints and productivity: Evidence from euro area companies. </w:t>
      </w:r>
      <w:r w:rsidRPr="00484AD1">
        <w:rPr>
          <w:i/>
          <w:iCs/>
          <w:color w:val="000000"/>
          <w:lang w:val="en-MY"/>
        </w:rPr>
        <w:t>International Journal of Finance &amp; Economics, 23</w:t>
      </w:r>
      <w:r w:rsidRPr="00484AD1">
        <w:rPr>
          <w:color w:val="000000"/>
          <w:lang w:val="en-MY"/>
        </w:rPr>
        <w:t xml:space="preserve">(3), 257–282. </w:t>
      </w:r>
      <w:hyperlink r:id="rId24" w:history="1">
        <w:r w:rsidRPr="00484AD1">
          <w:rPr>
            <w:rStyle w:val="Hyperlink"/>
            <w:sz w:val="20"/>
            <w:lang w:val="en-MY"/>
          </w:rPr>
          <w:t>https://doi.org/10.1002/ijfe.1615</w:t>
        </w:r>
      </w:hyperlink>
    </w:p>
    <w:p w14:paraId="1CCCEAC3"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Flammer, C. (2015). Does product market competition foster corporate social responsibility? Evidence from trade liberalization. </w:t>
      </w:r>
      <w:r w:rsidRPr="00484AD1">
        <w:rPr>
          <w:i/>
          <w:iCs/>
          <w:color w:val="000000"/>
          <w:lang w:val="en-MY"/>
        </w:rPr>
        <w:t>Strategic Management Journal, 36</w:t>
      </w:r>
      <w:r w:rsidRPr="00484AD1">
        <w:rPr>
          <w:color w:val="000000"/>
          <w:lang w:val="en-MY"/>
        </w:rPr>
        <w:t xml:space="preserve">(10), 1469–1485. </w:t>
      </w:r>
      <w:hyperlink r:id="rId25" w:history="1">
        <w:r w:rsidRPr="00484AD1">
          <w:rPr>
            <w:rStyle w:val="Hyperlink"/>
            <w:sz w:val="20"/>
            <w:lang w:val="en-MY"/>
          </w:rPr>
          <w:t>https://doi.org/10.1002/smj.2307</w:t>
        </w:r>
      </w:hyperlink>
    </w:p>
    <w:p w14:paraId="7C570324"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Geerts, M., Dooms, M., &amp; Stas, L. (2021). Determinants of sustainability reporting in the present institutional context: The case of port managing bodies. </w:t>
      </w:r>
      <w:r w:rsidRPr="00484AD1">
        <w:rPr>
          <w:i/>
          <w:iCs/>
          <w:color w:val="000000"/>
          <w:lang w:val="en-MY"/>
        </w:rPr>
        <w:t>Sustainability, 13</w:t>
      </w:r>
      <w:r w:rsidRPr="00484AD1">
        <w:rPr>
          <w:color w:val="000000"/>
          <w:lang w:val="en-MY"/>
        </w:rPr>
        <w:t xml:space="preserve">(6), 3148. </w:t>
      </w:r>
      <w:hyperlink r:id="rId26" w:history="1">
        <w:r w:rsidRPr="00484AD1">
          <w:rPr>
            <w:rStyle w:val="Hyperlink"/>
            <w:sz w:val="20"/>
            <w:lang w:val="en-MY"/>
          </w:rPr>
          <w:t>https://doi.org/10.3390/su13063148</w:t>
        </w:r>
      </w:hyperlink>
    </w:p>
    <w:p w14:paraId="31208725"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Giang, M. H., Trung, B. H., Yoshida, Y., Xuan, T. D., &amp; </w:t>
      </w:r>
      <w:proofErr w:type="spellStart"/>
      <w:r w:rsidRPr="00484AD1">
        <w:rPr>
          <w:color w:val="000000"/>
          <w:lang w:val="en-MY"/>
        </w:rPr>
        <w:t>Que</w:t>
      </w:r>
      <w:proofErr w:type="spellEnd"/>
      <w:r w:rsidRPr="00484AD1">
        <w:rPr>
          <w:color w:val="000000"/>
          <w:lang w:val="en-MY"/>
        </w:rPr>
        <w:t xml:space="preserve">, M. T. (2019). The causal effect of access to finance on productivity of small and medium enterprises in Vietnam. </w:t>
      </w:r>
      <w:r w:rsidRPr="00484AD1">
        <w:rPr>
          <w:i/>
          <w:iCs/>
          <w:color w:val="000000"/>
          <w:lang w:val="en-MY"/>
        </w:rPr>
        <w:t>Sustainability, 11</w:t>
      </w:r>
      <w:r w:rsidRPr="00484AD1">
        <w:rPr>
          <w:color w:val="000000"/>
          <w:lang w:val="en-MY"/>
        </w:rPr>
        <w:t xml:space="preserve">(19), 5451. </w:t>
      </w:r>
      <w:hyperlink r:id="rId27" w:history="1">
        <w:r w:rsidRPr="00484AD1">
          <w:rPr>
            <w:rStyle w:val="Hyperlink"/>
            <w:sz w:val="20"/>
            <w:lang w:val="en-MY"/>
          </w:rPr>
          <w:t>https://doi.org/10.3390/su11195451</w:t>
        </w:r>
      </w:hyperlink>
    </w:p>
    <w:p w14:paraId="47ED7513"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Hahn, R., &amp; </w:t>
      </w:r>
      <w:proofErr w:type="spellStart"/>
      <w:r w:rsidRPr="00484AD1">
        <w:rPr>
          <w:color w:val="000000"/>
          <w:lang w:val="en-MY"/>
        </w:rPr>
        <w:t>Kühnen</w:t>
      </w:r>
      <w:proofErr w:type="spellEnd"/>
      <w:r w:rsidRPr="00484AD1">
        <w:rPr>
          <w:color w:val="000000"/>
          <w:lang w:val="en-MY"/>
        </w:rPr>
        <w:t xml:space="preserve">, M. (2013). Determinants of sustainability reporting: A review of results, trends, theory, and opportunities in an expanding field of research. </w:t>
      </w:r>
      <w:r w:rsidRPr="00484AD1">
        <w:rPr>
          <w:i/>
          <w:iCs/>
          <w:color w:val="000000"/>
          <w:lang w:val="en-MY"/>
        </w:rPr>
        <w:t>Journal of Cleaner Production, 59</w:t>
      </w:r>
      <w:r w:rsidRPr="00484AD1">
        <w:rPr>
          <w:color w:val="000000"/>
          <w:lang w:val="en-MY"/>
        </w:rPr>
        <w:t xml:space="preserve">, 5–21. </w:t>
      </w:r>
      <w:hyperlink r:id="rId28" w:history="1">
        <w:r w:rsidRPr="00484AD1">
          <w:rPr>
            <w:rStyle w:val="Hyperlink"/>
            <w:sz w:val="20"/>
            <w:lang w:val="en-MY"/>
          </w:rPr>
          <w:t>https://doi.org/10.1016/j.jclepro.2013.07.005</w:t>
        </w:r>
      </w:hyperlink>
    </w:p>
    <w:p w14:paraId="368B3009" w14:textId="77777777" w:rsidR="00484AD1" w:rsidRDefault="00484AD1" w:rsidP="00484AD1">
      <w:pPr>
        <w:widowControl w:val="0"/>
        <w:pBdr>
          <w:top w:val="nil"/>
          <w:left w:val="nil"/>
          <w:bottom w:val="nil"/>
          <w:right w:val="nil"/>
          <w:between w:val="nil"/>
        </w:pBdr>
        <w:ind w:left="567" w:hanging="567"/>
        <w:jc w:val="both"/>
        <w:rPr>
          <w:color w:val="000000"/>
          <w:lang w:val="en-MY"/>
        </w:rPr>
      </w:pPr>
    </w:p>
    <w:p w14:paraId="7BB1438C" w14:textId="06E91304"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Haladu, A., &amp; Salim, B. B. (2016). Board characteristics and sustainability reporting: Environmental agencies’ moderating effects. </w:t>
      </w:r>
      <w:r w:rsidRPr="00484AD1">
        <w:rPr>
          <w:i/>
          <w:iCs/>
          <w:color w:val="000000"/>
          <w:lang w:val="en-MY"/>
        </w:rPr>
        <w:t>International Journal of Economics and Financial Issues, 6</w:t>
      </w:r>
      <w:r w:rsidRPr="00484AD1">
        <w:rPr>
          <w:color w:val="000000"/>
          <w:lang w:val="en-MY"/>
        </w:rPr>
        <w:t>(4), 1525–1533.</w:t>
      </w:r>
    </w:p>
    <w:p w14:paraId="5A795668"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proofErr w:type="spellStart"/>
      <w:r w:rsidRPr="00484AD1">
        <w:rPr>
          <w:color w:val="000000"/>
          <w:lang w:val="en-MY"/>
        </w:rPr>
        <w:t>Halkos</w:t>
      </w:r>
      <w:proofErr w:type="spellEnd"/>
      <w:r w:rsidRPr="00484AD1">
        <w:rPr>
          <w:color w:val="000000"/>
          <w:lang w:val="en-MY"/>
        </w:rPr>
        <w:t xml:space="preserve">, G., &amp; Nomikos, S. (2021). Corporate social responsibility: Trends in global reporting initiative standards. </w:t>
      </w:r>
      <w:r w:rsidRPr="00484AD1">
        <w:rPr>
          <w:i/>
          <w:iCs/>
          <w:color w:val="000000"/>
          <w:lang w:val="en-MY"/>
        </w:rPr>
        <w:t>Economic Analysis and Policy, 69</w:t>
      </w:r>
      <w:r w:rsidRPr="00484AD1">
        <w:rPr>
          <w:color w:val="000000"/>
          <w:lang w:val="en-MY"/>
        </w:rPr>
        <w:t>, 106–117.</w:t>
      </w:r>
    </w:p>
    <w:p w14:paraId="7BF4BA0E"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Hamid, F. Z. A., &amp; Othman, Z. (2019). Corporate social responsibility by Malaysian and Singapore sustainable index companies. </w:t>
      </w:r>
      <w:r w:rsidRPr="00484AD1">
        <w:rPr>
          <w:i/>
          <w:iCs/>
          <w:color w:val="000000"/>
          <w:lang w:val="en-MY"/>
        </w:rPr>
        <w:t>International Journal of Accounting and Financial Reporting, 9</w:t>
      </w:r>
      <w:r w:rsidRPr="00484AD1">
        <w:rPr>
          <w:color w:val="000000"/>
          <w:lang w:val="en-MY"/>
        </w:rPr>
        <w:t xml:space="preserve">(2), 1–11. </w:t>
      </w:r>
      <w:hyperlink r:id="rId29" w:history="1">
        <w:r w:rsidRPr="00484AD1">
          <w:rPr>
            <w:rStyle w:val="Hyperlink"/>
            <w:sz w:val="20"/>
            <w:lang w:val="en-MY"/>
          </w:rPr>
          <w:t>https://doi.org/10.5296/ijafr.v9i2.14665</w:t>
        </w:r>
      </w:hyperlink>
    </w:p>
    <w:p w14:paraId="7692A8F6"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proofErr w:type="spellStart"/>
      <w:r w:rsidRPr="00484AD1">
        <w:rPr>
          <w:color w:val="000000"/>
          <w:lang w:val="en-MY"/>
        </w:rPr>
        <w:t>Haniffa</w:t>
      </w:r>
      <w:proofErr w:type="spellEnd"/>
      <w:r w:rsidRPr="00484AD1">
        <w:rPr>
          <w:color w:val="000000"/>
          <w:lang w:val="en-MY"/>
        </w:rPr>
        <w:t xml:space="preserve">, R. M., &amp; Cooke, T. E. (2002). Culture, corporate governance and disclosure in Malaysian corporations. </w:t>
      </w:r>
      <w:r w:rsidRPr="00484AD1">
        <w:rPr>
          <w:i/>
          <w:iCs/>
          <w:color w:val="000000"/>
          <w:lang w:val="en-MY"/>
        </w:rPr>
        <w:t>Abacus, 38</w:t>
      </w:r>
      <w:r w:rsidRPr="00484AD1">
        <w:rPr>
          <w:color w:val="000000"/>
          <w:lang w:val="en-MY"/>
        </w:rPr>
        <w:t xml:space="preserve">(3), 317–349. </w:t>
      </w:r>
      <w:hyperlink r:id="rId30" w:history="1">
        <w:r w:rsidRPr="00484AD1">
          <w:rPr>
            <w:rStyle w:val="Hyperlink"/>
            <w:sz w:val="20"/>
            <w:lang w:val="en-MY"/>
          </w:rPr>
          <w:t>https://doi.org/10.1111/1467-6281.00112</w:t>
        </w:r>
      </w:hyperlink>
    </w:p>
    <w:p w14:paraId="7368EB90"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proofErr w:type="spellStart"/>
      <w:r w:rsidRPr="00484AD1">
        <w:rPr>
          <w:color w:val="000000"/>
          <w:lang w:val="en-MY"/>
        </w:rPr>
        <w:t>Haniffa</w:t>
      </w:r>
      <w:proofErr w:type="spellEnd"/>
      <w:r w:rsidRPr="00484AD1">
        <w:rPr>
          <w:color w:val="000000"/>
          <w:lang w:val="en-MY"/>
        </w:rPr>
        <w:t xml:space="preserve">, R. M., &amp; Cooke, T. E. (2005). The impact of culture and governance on corporate social reporting. </w:t>
      </w:r>
      <w:r w:rsidRPr="00484AD1">
        <w:rPr>
          <w:i/>
          <w:iCs/>
          <w:color w:val="000000"/>
          <w:lang w:val="en-MY"/>
        </w:rPr>
        <w:t>Journal of Accounting and Public Policy, 24</w:t>
      </w:r>
      <w:r w:rsidRPr="00484AD1">
        <w:rPr>
          <w:color w:val="000000"/>
          <w:lang w:val="en-MY"/>
        </w:rPr>
        <w:t xml:space="preserve">(5), 391–430. </w:t>
      </w:r>
      <w:hyperlink r:id="rId31" w:history="1">
        <w:r w:rsidRPr="00484AD1">
          <w:rPr>
            <w:rStyle w:val="Hyperlink"/>
            <w:sz w:val="20"/>
            <w:lang w:val="en-MY"/>
          </w:rPr>
          <w:t>https://doi.org/10.1016/j.jaccpubpol.2005.06.001</w:t>
        </w:r>
      </w:hyperlink>
    </w:p>
    <w:p w14:paraId="1B21D971"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proofErr w:type="spellStart"/>
      <w:r w:rsidRPr="00484AD1">
        <w:rPr>
          <w:color w:val="000000"/>
          <w:lang w:val="en-MY"/>
        </w:rPr>
        <w:t>Hoechle</w:t>
      </w:r>
      <w:proofErr w:type="spellEnd"/>
      <w:r w:rsidRPr="00484AD1">
        <w:rPr>
          <w:color w:val="000000"/>
          <w:lang w:val="en-MY"/>
        </w:rPr>
        <w:t xml:space="preserve">, D. (2007). Robust standard errors for panel regressions with cross-sectional dependence. </w:t>
      </w:r>
      <w:r w:rsidRPr="00484AD1">
        <w:rPr>
          <w:i/>
          <w:iCs/>
          <w:color w:val="000000"/>
          <w:lang w:val="en-MY"/>
        </w:rPr>
        <w:t>The Stata Journal, 7</w:t>
      </w:r>
      <w:r w:rsidRPr="00484AD1">
        <w:rPr>
          <w:color w:val="000000"/>
          <w:lang w:val="en-MY"/>
        </w:rPr>
        <w:t xml:space="preserve">(3), 281–312. </w:t>
      </w:r>
      <w:hyperlink r:id="rId32" w:history="1">
        <w:r w:rsidRPr="00484AD1">
          <w:rPr>
            <w:rStyle w:val="Hyperlink"/>
            <w:sz w:val="20"/>
            <w:lang w:val="en-MY"/>
          </w:rPr>
          <w:t>https://doi.org/10.1177/1536867X0700700301</w:t>
        </w:r>
      </w:hyperlink>
    </w:p>
    <w:p w14:paraId="7C9F8DB4"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Hossain, T., Adams, M., &amp; Walker, T. R. (2019). Sustainability initiatives in Canadian ports. </w:t>
      </w:r>
      <w:r w:rsidRPr="00484AD1">
        <w:rPr>
          <w:i/>
          <w:iCs/>
          <w:color w:val="000000"/>
          <w:lang w:val="en-MY"/>
        </w:rPr>
        <w:t>Marine Policy, 106</w:t>
      </w:r>
      <w:r w:rsidRPr="00484AD1">
        <w:rPr>
          <w:color w:val="000000"/>
          <w:lang w:val="en-MY"/>
        </w:rPr>
        <w:t xml:space="preserve">, 103519. </w:t>
      </w:r>
      <w:hyperlink r:id="rId33" w:history="1">
        <w:r w:rsidRPr="00484AD1">
          <w:rPr>
            <w:rStyle w:val="Hyperlink"/>
            <w:sz w:val="20"/>
            <w:lang w:val="en-MY"/>
          </w:rPr>
          <w:t>https://doi.org/10.1016/j.marpol.2019.103519</w:t>
        </w:r>
      </w:hyperlink>
    </w:p>
    <w:p w14:paraId="100C2170"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Hussain, N., Rigoni, U., &amp; </w:t>
      </w:r>
      <w:proofErr w:type="spellStart"/>
      <w:r w:rsidRPr="00484AD1">
        <w:rPr>
          <w:color w:val="000000"/>
          <w:lang w:val="en-MY"/>
        </w:rPr>
        <w:t>Orij</w:t>
      </w:r>
      <w:proofErr w:type="spellEnd"/>
      <w:r w:rsidRPr="00484AD1">
        <w:rPr>
          <w:color w:val="000000"/>
          <w:lang w:val="en-MY"/>
        </w:rPr>
        <w:t xml:space="preserve">, R. P. (2018). Corporate governance and sustainability performance: Analysis of triple bottom line performance. </w:t>
      </w:r>
      <w:r w:rsidRPr="00484AD1">
        <w:rPr>
          <w:i/>
          <w:iCs/>
          <w:color w:val="000000"/>
          <w:lang w:val="en-MY"/>
        </w:rPr>
        <w:t>Journal of Business Ethics, 149</w:t>
      </w:r>
      <w:r w:rsidRPr="00484AD1">
        <w:rPr>
          <w:color w:val="000000"/>
          <w:lang w:val="en-MY"/>
        </w:rPr>
        <w:t xml:space="preserve">(2), 411–432. </w:t>
      </w:r>
      <w:hyperlink r:id="rId34" w:history="1">
        <w:r w:rsidRPr="00484AD1">
          <w:rPr>
            <w:rStyle w:val="Hyperlink"/>
            <w:sz w:val="20"/>
            <w:lang w:val="en-MY"/>
          </w:rPr>
          <w:t>https://doi.org/10.1007/s10551-016-3099-5</w:t>
        </w:r>
      </w:hyperlink>
    </w:p>
    <w:p w14:paraId="3C6B80A8"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Issa, A., Zaid, M. A. A., </w:t>
      </w:r>
      <w:proofErr w:type="spellStart"/>
      <w:r w:rsidRPr="00484AD1">
        <w:rPr>
          <w:color w:val="000000"/>
          <w:lang w:val="en-MY"/>
        </w:rPr>
        <w:t>Hanaysha</w:t>
      </w:r>
      <w:proofErr w:type="spellEnd"/>
      <w:r w:rsidRPr="00484AD1">
        <w:rPr>
          <w:color w:val="000000"/>
          <w:lang w:val="en-MY"/>
        </w:rPr>
        <w:t xml:space="preserve">, J. R., &amp; Gull, A. A. (2022). An examination of board diversity and corporate social responsibility disclosure: Evidence from the banking sector in the Arabian Gulf countries. </w:t>
      </w:r>
      <w:r w:rsidRPr="00484AD1">
        <w:rPr>
          <w:i/>
          <w:iCs/>
          <w:color w:val="000000"/>
          <w:lang w:val="en-MY"/>
        </w:rPr>
        <w:t>International Journal of Accounting &amp; Information Management, 30</w:t>
      </w:r>
      <w:r w:rsidRPr="00484AD1">
        <w:rPr>
          <w:color w:val="000000"/>
          <w:lang w:val="en-MY"/>
        </w:rPr>
        <w:t xml:space="preserve">(1), 22–46. </w:t>
      </w:r>
      <w:hyperlink r:id="rId35" w:history="1">
        <w:r w:rsidRPr="00484AD1">
          <w:rPr>
            <w:rStyle w:val="Hyperlink"/>
            <w:sz w:val="20"/>
            <w:lang w:val="en-MY"/>
          </w:rPr>
          <w:t>https://doi.org/10.1108/IJAIM-07-2021-0137</w:t>
        </w:r>
      </w:hyperlink>
    </w:p>
    <w:p w14:paraId="03338500"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Ja’afar, Y., Bala, H., &amp; Lawal, A. M. (2021). Determinants of corporate environmental accounting disclosure of oil and gas firms in Nigeria. </w:t>
      </w:r>
      <w:r w:rsidRPr="00484AD1">
        <w:rPr>
          <w:i/>
          <w:iCs/>
          <w:color w:val="000000"/>
          <w:lang w:val="en-MY"/>
        </w:rPr>
        <w:t>Global Business Management Review, 13</w:t>
      </w:r>
      <w:r w:rsidRPr="00484AD1">
        <w:rPr>
          <w:color w:val="000000"/>
          <w:lang w:val="en-MY"/>
        </w:rPr>
        <w:t xml:space="preserve">(1), 16–36. </w:t>
      </w:r>
      <w:hyperlink r:id="rId36" w:history="1">
        <w:r w:rsidRPr="00484AD1">
          <w:rPr>
            <w:rStyle w:val="Hyperlink"/>
            <w:sz w:val="20"/>
            <w:lang w:val="en-MY"/>
          </w:rPr>
          <w:t>https://doi.org/10.32890/gbmr2021.13.1.2</w:t>
        </w:r>
      </w:hyperlink>
    </w:p>
    <w:p w14:paraId="6A820DEA"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Jalaludin, D., Sulaiman, M., &amp; Ahmad, N. N. N. (2011). Understanding environmental management accounting (EMA) adoption: A new institutional sociology perspective. </w:t>
      </w:r>
      <w:r w:rsidRPr="00484AD1">
        <w:rPr>
          <w:i/>
          <w:iCs/>
          <w:color w:val="000000"/>
          <w:lang w:val="en-MY"/>
        </w:rPr>
        <w:t>Social Responsibility Journal, 7</w:t>
      </w:r>
      <w:r w:rsidRPr="00484AD1">
        <w:rPr>
          <w:color w:val="000000"/>
          <w:lang w:val="en-MY"/>
        </w:rPr>
        <w:t xml:space="preserve">(4), 540–557. </w:t>
      </w:r>
      <w:hyperlink r:id="rId37" w:history="1">
        <w:r w:rsidRPr="00484AD1">
          <w:rPr>
            <w:rStyle w:val="Hyperlink"/>
            <w:sz w:val="20"/>
            <w:lang w:val="en-MY"/>
          </w:rPr>
          <w:t>https://doi.org/10.1108/17471111111175128</w:t>
        </w:r>
      </w:hyperlink>
    </w:p>
    <w:p w14:paraId="1A5CBDB4"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Jamil, A., Mohd Ghazali, N. A., &amp; Nelson, S. P. (2021). The influence of corporate governance structure on sustainability reporting in Malaysia. </w:t>
      </w:r>
      <w:r w:rsidRPr="00484AD1">
        <w:rPr>
          <w:i/>
          <w:iCs/>
          <w:color w:val="000000"/>
          <w:lang w:val="en-MY"/>
        </w:rPr>
        <w:t>Social Responsibility Journal, 17</w:t>
      </w:r>
      <w:r w:rsidRPr="00484AD1">
        <w:rPr>
          <w:color w:val="000000"/>
          <w:lang w:val="en-MY"/>
        </w:rPr>
        <w:t xml:space="preserve">(8), 1251–1278. </w:t>
      </w:r>
      <w:hyperlink r:id="rId38" w:history="1">
        <w:r w:rsidRPr="00484AD1">
          <w:rPr>
            <w:rStyle w:val="Hyperlink"/>
            <w:sz w:val="20"/>
            <w:lang w:val="en-MY"/>
          </w:rPr>
          <w:t>https://doi.org/10.1108/SRJ-08-2020-0310</w:t>
        </w:r>
      </w:hyperlink>
    </w:p>
    <w:p w14:paraId="72E657E3"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Kathuria, R., Amrita, G., &amp; Sajal, J. (2017). Drivers and constraints for adopting sustainability standards in small and medium-sized enterprises (SMEs) and the demand for finance: An Indian case study (Part I: Macro perspective). In </w:t>
      </w:r>
      <w:r w:rsidRPr="00484AD1">
        <w:rPr>
          <w:i/>
          <w:iCs/>
          <w:color w:val="000000"/>
          <w:lang w:val="en-MY"/>
        </w:rPr>
        <w:t>Drivers and constraints for adopting sustainability standards in small and medium-sized enterprises (SMEs) and the demand for finance: Case studies from Brazil, China, India, Indonesia and South Africa</w:t>
      </w:r>
      <w:r w:rsidRPr="00484AD1">
        <w:rPr>
          <w:color w:val="000000"/>
          <w:lang w:val="en-MY"/>
        </w:rPr>
        <w:t xml:space="preserve"> (pp. 45–64).</w:t>
      </w:r>
    </w:p>
    <w:p w14:paraId="09C693D5"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Kingsley, G. T., Pettit, K. L. S., &amp; Hendey, L. (2013). </w:t>
      </w:r>
      <w:r w:rsidRPr="00484AD1">
        <w:rPr>
          <w:i/>
          <w:iCs/>
          <w:color w:val="000000"/>
          <w:lang w:val="en-MY"/>
        </w:rPr>
        <w:t xml:space="preserve">Strengthening local capacity for data-driven </w:t>
      </w:r>
      <w:proofErr w:type="spellStart"/>
      <w:r w:rsidRPr="00484AD1">
        <w:rPr>
          <w:i/>
          <w:iCs/>
          <w:color w:val="000000"/>
          <w:lang w:val="en-MY"/>
        </w:rPr>
        <w:t>decisionmaking</w:t>
      </w:r>
      <w:proofErr w:type="spellEnd"/>
      <w:r w:rsidRPr="00484AD1">
        <w:rPr>
          <w:color w:val="000000"/>
          <w:lang w:val="en-MY"/>
        </w:rPr>
        <w:t>. Urban Institute.</w:t>
      </w:r>
    </w:p>
    <w:p w14:paraId="2222094E"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KPMG. (2020). </w:t>
      </w:r>
      <w:r w:rsidRPr="00484AD1">
        <w:rPr>
          <w:i/>
          <w:iCs/>
          <w:color w:val="000000"/>
          <w:lang w:val="en-MY"/>
        </w:rPr>
        <w:t>Transparency report 2020</w:t>
      </w:r>
      <w:r w:rsidRPr="00484AD1">
        <w:rPr>
          <w:color w:val="000000"/>
          <w:lang w:val="en-MY"/>
        </w:rPr>
        <w:t xml:space="preserve">. </w:t>
      </w:r>
      <w:hyperlink r:id="rId39" w:history="1">
        <w:r w:rsidRPr="00484AD1">
          <w:rPr>
            <w:rStyle w:val="Hyperlink"/>
            <w:sz w:val="20"/>
            <w:lang w:val="en-MY"/>
          </w:rPr>
          <w:t>https://www.pwc.co.uk/annualreport/assets/2020/uk-transparency-report-2020.pdf</w:t>
        </w:r>
      </w:hyperlink>
    </w:p>
    <w:p w14:paraId="0ECBAE49"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Kumo, U. A. (2023). </w:t>
      </w:r>
      <w:r w:rsidRPr="00484AD1">
        <w:rPr>
          <w:i/>
          <w:iCs/>
          <w:color w:val="000000"/>
          <w:lang w:val="en-MY"/>
        </w:rPr>
        <w:t>Corporate governance attributes and firm-specific features as determinants of sustainability initiatives of listed financial and non-financial companies in Nigeria</w:t>
      </w:r>
      <w:r w:rsidRPr="00484AD1">
        <w:rPr>
          <w:color w:val="000000"/>
          <w:lang w:val="en-MY"/>
        </w:rPr>
        <w:t xml:space="preserve">. Advance. </w:t>
      </w:r>
      <w:hyperlink r:id="rId40" w:history="1">
        <w:r w:rsidRPr="00484AD1">
          <w:rPr>
            <w:rStyle w:val="Hyperlink"/>
            <w:sz w:val="20"/>
            <w:lang w:val="en-MY"/>
          </w:rPr>
          <w:t>https://doi.org/10.31124/advance.22722154.v1</w:t>
        </w:r>
      </w:hyperlink>
    </w:p>
    <w:p w14:paraId="36E9DBCB"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Kumo, U. A., Hamid, F. Z. A., &amp; </w:t>
      </w:r>
      <w:proofErr w:type="spellStart"/>
      <w:r w:rsidRPr="00484AD1">
        <w:rPr>
          <w:color w:val="000000"/>
          <w:lang w:val="en-MY"/>
        </w:rPr>
        <w:t>Sahdan</w:t>
      </w:r>
      <w:proofErr w:type="spellEnd"/>
      <w:r w:rsidRPr="00484AD1">
        <w:rPr>
          <w:color w:val="000000"/>
          <w:lang w:val="en-MY"/>
        </w:rPr>
        <w:t xml:space="preserve">, M. H. (2023). The role of environmental policy in influencing governance and sustainability practices among Nigerian quoted companies: A proposed framework. </w:t>
      </w:r>
      <w:r w:rsidRPr="00484AD1">
        <w:rPr>
          <w:i/>
          <w:iCs/>
          <w:color w:val="000000"/>
          <w:lang w:val="en-MY"/>
        </w:rPr>
        <w:t>International Journal of Professional Business Review, 8</w:t>
      </w:r>
      <w:r w:rsidRPr="00484AD1">
        <w:rPr>
          <w:color w:val="000000"/>
          <w:lang w:val="en-MY"/>
        </w:rPr>
        <w:t xml:space="preserve">(7), e02648. </w:t>
      </w:r>
      <w:hyperlink r:id="rId41" w:history="1">
        <w:r w:rsidRPr="00484AD1">
          <w:rPr>
            <w:rStyle w:val="Hyperlink"/>
            <w:sz w:val="20"/>
            <w:lang w:val="en-MY"/>
          </w:rPr>
          <w:t>https://doi.org/10.26668/businessreview/2023.v8i7.2648</w:t>
        </w:r>
      </w:hyperlink>
    </w:p>
    <w:p w14:paraId="6CBB866D" w14:textId="77777777" w:rsidR="00484AD1" w:rsidRDefault="00484AD1" w:rsidP="00484AD1">
      <w:pPr>
        <w:widowControl w:val="0"/>
        <w:pBdr>
          <w:top w:val="nil"/>
          <w:left w:val="nil"/>
          <w:bottom w:val="nil"/>
          <w:right w:val="nil"/>
          <w:between w:val="nil"/>
        </w:pBdr>
        <w:ind w:left="567" w:hanging="567"/>
        <w:jc w:val="both"/>
        <w:rPr>
          <w:color w:val="000000"/>
          <w:lang w:val="en-MY"/>
        </w:rPr>
      </w:pPr>
    </w:p>
    <w:p w14:paraId="15F2B6D1" w14:textId="77777777" w:rsidR="00484AD1" w:rsidRDefault="00484AD1" w:rsidP="00484AD1">
      <w:pPr>
        <w:widowControl w:val="0"/>
        <w:pBdr>
          <w:top w:val="nil"/>
          <w:left w:val="nil"/>
          <w:bottom w:val="nil"/>
          <w:right w:val="nil"/>
          <w:between w:val="nil"/>
        </w:pBdr>
        <w:ind w:left="567" w:hanging="567"/>
        <w:jc w:val="both"/>
        <w:rPr>
          <w:color w:val="000000"/>
          <w:lang w:val="en-MY"/>
        </w:rPr>
      </w:pPr>
    </w:p>
    <w:p w14:paraId="44A1DA34" w14:textId="7120E4B4"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Kumo, U. A., </w:t>
      </w:r>
      <w:proofErr w:type="spellStart"/>
      <w:r w:rsidRPr="00484AD1">
        <w:rPr>
          <w:color w:val="000000"/>
          <w:lang w:val="en-MY"/>
        </w:rPr>
        <w:t>Zakimi</w:t>
      </w:r>
      <w:proofErr w:type="spellEnd"/>
      <w:r w:rsidRPr="00484AD1">
        <w:rPr>
          <w:color w:val="000000"/>
          <w:lang w:val="en-MY"/>
        </w:rPr>
        <w:t xml:space="preserve">, F., Hamid, A., &amp; </w:t>
      </w:r>
      <w:proofErr w:type="spellStart"/>
      <w:r w:rsidRPr="00484AD1">
        <w:rPr>
          <w:color w:val="000000"/>
          <w:lang w:val="en-MY"/>
        </w:rPr>
        <w:t>Sahdan</w:t>
      </w:r>
      <w:proofErr w:type="spellEnd"/>
      <w:r w:rsidRPr="00484AD1">
        <w:rPr>
          <w:color w:val="000000"/>
          <w:lang w:val="en-MY"/>
        </w:rPr>
        <w:t xml:space="preserve">, M. H. (2024). The economic benefit of board features in enhancing corporate sustainability reporting practices disclosure of Nigerian listed non-financial firms. </w:t>
      </w:r>
      <w:r w:rsidRPr="00484AD1">
        <w:rPr>
          <w:i/>
          <w:iCs/>
          <w:color w:val="000000"/>
          <w:lang w:val="en-MY"/>
        </w:rPr>
        <w:t>Kurdish Studies, 12</w:t>
      </w:r>
      <w:r w:rsidRPr="00484AD1">
        <w:rPr>
          <w:color w:val="000000"/>
          <w:lang w:val="en-MY"/>
        </w:rPr>
        <w:t xml:space="preserve">(1), 3051–3068. </w:t>
      </w:r>
      <w:hyperlink r:id="rId42" w:history="1">
        <w:r w:rsidRPr="00484AD1">
          <w:rPr>
            <w:rStyle w:val="Hyperlink"/>
            <w:sz w:val="20"/>
            <w:lang w:val="en-MY"/>
          </w:rPr>
          <w:t>https://doi.org/10.58262/ks.v12i1.222</w:t>
        </w:r>
      </w:hyperlink>
    </w:p>
    <w:p w14:paraId="103CE678"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Latif, B., Mahmood, Z., San, O. T., &amp; Said, R. M. (2020). </w:t>
      </w:r>
      <w:r w:rsidRPr="00484AD1">
        <w:rPr>
          <w:i/>
          <w:iCs/>
          <w:color w:val="000000"/>
          <w:lang w:val="en-MY"/>
        </w:rPr>
        <w:t>Coercive, normative and mimetic pressures as drivers of environmental management accounting adoption</w:t>
      </w:r>
      <w:r w:rsidRPr="00484AD1">
        <w:rPr>
          <w:color w:val="000000"/>
          <w:lang w:val="en-MY"/>
        </w:rPr>
        <w:t>.</w:t>
      </w:r>
    </w:p>
    <w:p w14:paraId="0B623A73"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Li, Y., Gong, M., Zhang, X. Y., &amp; Koh, L. (2018). The impact of environmental, social, and governance disclosure on firm value: The role of CEO power. </w:t>
      </w:r>
      <w:r w:rsidRPr="00484AD1">
        <w:rPr>
          <w:i/>
          <w:iCs/>
          <w:color w:val="000000"/>
          <w:lang w:val="en-MY"/>
        </w:rPr>
        <w:t>The British Accounting Review, 50</w:t>
      </w:r>
      <w:r w:rsidRPr="00484AD1">
        <w:rPr>
          <w:color w:val="000000"/>
          <w:lang w:val="en-MY"/>
        </w:rPr>
        <w:t xml:space="preserve">(1), 60–75. </w:t>
      </w:r>
      <w:hyperlink r:id="rId43" w:history="1">
        <w:r w:rsidRPr="00484AD1">
          <w:rPr>
            <w:rStyle w:val="Hyperlink"/>
            <w:sz w:val="20"/>
            <w:lang w:val="en-MY"/>
          </w:rPr>
          <w:t>https://doi.org/10.1016/j.bar.2017.09.007</w:t>
        </w:r>
      </w:hyperlink>
    </w:p>
    <w:p w14:paraId="526911BD"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Luo, B. N., Tang, Y., Chen, E. W., Li, S., &amp; Luo, D. (2020). Corporate sustainability paradox management: A systematic review and future agenda. </w:t>
      </w:r>
      <w:r w:rsidRPr="00484AD1">
        <w:rPr>
          <w:i/>
          <w:iCs/>
          <w:color w:val="000000"/>
          <w:lang w:val="en-MY"/>
        </w:rPr>
        <w:t>Frontiers in Psychology, 11</w:t>
      </w:r>
      <w:r w:rsidRPr="00484AD1">
        <w:rPr>
          <w:color w:val="000000"/>
          <w:lang w:val="en-MY"/>
        </w:rPr>
        <w:t xml:space="preserve">, 579272. </w:t>
      </w:r>
      <w:hyperlink r:id="rId44" w:history="1">
        <w:r w:rsidRPr="00484AD1">
          <w:rPr>
            <w:rStyle w:val="Hyperlink"/>
            <w:sz w:val="20"/>
            <w:lang w:val="en-MY"/>
          </w:rPr>
          <w:t>https://doi.org/10.3389/fpsyg.2020.579272</w:t>
        </w:r>
      </w:hyperlink>
    </w:p>
    <w:p w14:paraId="23DA4FD6"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Meyer, J. W., &amp; Rowan, B. (1977). Institutionalized organizations: Formal structure as myth and ceremony. </w:t>
      </w:r>
      <w:r w:rsidRPr="00484AD1">
        <w:rPr>
          <w:i/>
          <w:iCs/>
          <w:color w:val="000000"/>
          <w:lang w:val="en-MY"/>
        </w:rPr>
        <w:t>American Journal of Sociology, 83</w:t>
      </w:r>
      <w:r w:rsidRPr="00484AD1">
        <w:rPr>
          <w:color w:val="000000"/>
          <w:lang w:val="en-MY"/>
        </w:rPr>
        <w:t>(2), 340–363.</w:t>
      </w:r>
    </w:p>
    <w:p w14:paraId="093585DC"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Mohnen, P., Palm, F. C., Van der Loeff, S. S., &amp; Tiwari, A. (2008). Financial constraints and other obstacles: Are they a threat to innovation activity? </w:t>
      </w:r>
      <w:r w:rsidRPr="00484AD1">
        <w:rPr>
          <w:i/>
          <w:iCs/>
          <w:color w:val="000000"/>
          <w:lang w:val="en-MY"/>
        </w:rPr>
        <w:t>De Economist, 156</w:t>
      </w:r>
      <w:r w:rsidRPr="00484AD1">
        <w:rPr>
          <w:color w:val="000000"/>
          <w:lang w:val="en-MY"/>
        </w:rPr>
        <w:t xml:space="preserve">(2), 201–214. </w:t>
      </w:r>
      <w:hyperlink r:id="rId45" w:history="1">
        <w:r w:rsidRPr="00484AD1">
          <w:rPr>
            <w:rStyle w:val="Hyperlink"/>
            <w:sz w:val="20"/>
            <w:lang w:val="en-MY"/>
          </w:rPr>
          <w:t>https://doi.org/10.1007/s10645-008-9089-y</w:t>
        </w:r>
      </w:hyperlink>
    </w:p>
    <w:p w14:paraId="655CF67A"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Musa, A., &amp; Ibrahim, M. T. (2024). Does the effectiveness of risk management committee mitigate earnings management practices? </w:t>
      </w:r>
      <w:r w:rsidRPr="00484AD1">
        <w:rPr>
          <w:i/>
          <w:iCs/>
          <w:color w:val="000000"/>
          <w:lang w:val="en-MY"/>
        </w:rPr>
        <w:t>Journal of International Business, Economics and Entrepreneurship, 9</w:t>
      </w:r>
      <w:r w:rsidRPr="00484AD1">
        <w:rPr>
          <w:color w:val="000000"/>
          <w:lang w:val="en-MY"/>
        </w:rPr>
        <w:t>(1), 84–99.</w:t>
      </w:r>
    </w:p>
    <w:p w14:paraId="3A6890F2"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Musa, A., Abdul Latif, R., &amp; Abdul Majid, J. (2025). Risk management committee and earnings management: Evidence from an emerging market. </w:t>
      </w:r>
      <w:r w:rsidRPr="00484AD1">
        <w:rPr>
          <w:i/>
          <w:iCs/>
          <w:color w:val="000000"/>
          <w:lang w:val="en-MY"/>
        </w:rPr>
        <w:t>Journal of Accounting in Emerging Economies, 15</w:t>
      </w:r>
      <w:r w:rsidRPr="00484AD1">
        <w:rPr>
          <w:color w:val="000000"/>
          <w:lang w:val="en-MY"/>
        </w:rPr>
        <w:t xml:space="preserve">(2), 273–305. </w:t>
      </w:r>
      <w:hyperlink r:id="rId46" w:history="1">
        <w:r w:rsidRPr="00484AD1">
          <w:rPr>
            <w:rStyle w:val="Hyperlink"/>
            <w:sz w:val="20"/>
            <w:lang w:val="en-MY"/>
          </w:rPr>
          <w:t>https://doi.org/10.1108/JAEE-07-2023-0212</w:t>
        </w:r>
      </w:hyperlink>
    </w:p>
    <w:p w14:paraId="588D5999"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Musa, A., Latif, R. A., &amp; Abdul Majid, J. (2021). A conceptual review on the relationship between CEO characteristics and real earnings management. </w:t>
      </w:r>
      <w:r w:rsidRPr="00484AD1">
        <w:rPr>
          <w:i/>
          <w:iCs/>
          <w:color w:val="000000"/>
          <w:lang w:val="en-MY"/>
        </w:rPr>
        <w:t>International Journal of Auditing and Accounting Studies, 3</w:t>
      </w:r>
      <w:r w:rsidRPr="00484AD1">
        <w:rPr>
          <w:color w:val="000000"/>
          <w:lang w:val="en-MY"/>
        </w:rPr>
        <w:t>(2), 185–202.</w:t>
      </w:r>
    </w:p>
    <w:p w14:paraId="41B31993"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Norman Thomas, G., &amp; </w:t>
      </w:r>
      <w:proofErr w:type="spellStart"/>
      <w:r w:rsidRPr="00484AD1">
        <w:rPr>
          <w:color w:val="000000"/>
          <w:lang w:val="en-MY"/>
        </w:rPr>
        <w:t>Indriaty</w:t>
      </w:r>
      <w:proofErr w:type="spellEnd"/>
      <w:r w:rsidRPr="00484AD1">
        <w:rPr>
          <w:color w:val="000000"/>
          <w:lang w:val="en-MY"/>
        </w:rPr>
        <w:t xml:space="preserve">, L. (2020). The effect of company size, profitability and leverage on sustainability report disclosure. </w:t>
      </w:r>
      <w:r w:rsidRPr="00484AD1">
        <w:rPr>
          <w:i/>
          <w:iCs/>
          <w:color w:val="000000"/>
          <w:lang w:val="en-MY"/>
        </w:rPr>
        <w:t>Talent Development &amp; Excellence, 12</w:t>
      </w:r>
      <w:r w:rsidRPr="00484AD1">
        <w:rPr>
          <w:color w:val="000000"/>
          <w:lang w:val="en-MY"/>
        </w:rPr>
        <w:t xml:space="preserve">(1), 4700–4706. </w:t>
      </w:r>
      <w:hyperlink r:id="rId47" w:history="1">
        <w:r w:rsidRPr="00484AD1">
          <w:rPr>
            <w:rStyle w:val="Hyperlink"/>
            <w:sz w:val="20"/>
            <w:lang w:val="en-MY"/>
          </w:rPr>
          <w:t>http://www.iratde.com</w:t>
        </w:r>
      </w:hyperlink>
    </w:p>
    <w:p w14:paraId="0EE8F1D3"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Pallant, J. (2013). </w:t>
      </w:r>
      <w:r w:rsidRPr="00484AD1">
        <w:rPr>
          <w:i/>
          <w:iCs/>
          <w:color w:val="000000"/>
          <w:lang w:val="en-MY"/>
        </w:rPr>
        <w:t xml:space="preserve">SPSS survival manual: A </w:t>
      </w:r>
      <w:proofErr w:type="gramStart"/>
      <w:r w:rsidRPr="00484AD1">
        <w:rPr>
          <w:i/>
          <w:iCs/>
          <w:color w:val="000000"/>
          <w:lang w:val="en-MY"/>
        </w:rPr>
        <w:t>step by step</w:t>
      </w:r>
      <w:proofErr w:type="gramEnd"/>
      <w:r w:rsidRPr="00484AD1">
        <w:rPr>
          <w:i/>
          <w:iCs/>
          <w:color w:val="000000"/>
          <w:lang w:val="en-MY"/>
        </w:rPr>
        <w:t xml:space="preserve"> guide to data analysis using SPSS</w:t>
      </w:r>
      <w:r w:rsidRPr="00484AD1">
        <w:rPr>
          <w:color w:val="000000"/>
          <w:lang w:val="en-MY"/>
        </w:rPr>
        <w:t xml:space="preserve"> (4th ed.). McGraw-Hill Education.</w:t>
      </w:r>
    </w:p>
    <w:p w14:paraId="1991E1D4"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Pham, D. C., Do, T. N. A., Doan, T. N., Nguyen, T. X. H., &amp; Pham, T. K. Y. (2021). The impact of sustainability practices on financial performance: Empirical evidence from Sweden. </w:t>
      </w:r>
      <w:r w:rsidRPr="00484AD1">
        <w:rPr>
          <w:i/>
          <w:iCs/>
          <w:color w:val="000000"/>
          <w:lang w:val="en-MY"/>
        </w:rPr>
        <w:t>Cogent Business &amp; Management, 8</w:t>
      </w:r>
      <w:r w:rsidRPr="00484AD1">
        <w:rPr>
          <w:color w:val="000000"/>
          <w:lang w:val="en-MY"/>
        </w:rPr>
        <w:t xml:space="preserve">(1), 1912526. </w:t>
      </w:r>
      <w:hyperlink r:id="rId48" w:history="1">
        <w:r w:rsidRPr="00484AD1">
          <w:rPr>
            <w:rStyle w:val="Hyperlink"/>
            <w:sz w:val="20"/>
            <w:lang w:val="en-MY"/>
          </w:rPr>
          <w:t>https://doi.org/10.1080/23311975.2021.1912526</w:t>
        </w:r>
      </w:hyperlink>
    </w:p>
    <w:p w14:paraId="0C914202"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Ren, S., &amp; Mohd Isa, S. (2023). The impact of digital transformation on corporate ESG performance: Empirical evidence from Chinese listed companies. </w:t>
      </w:r>
      <w:r w:rsidRPr="00484AD1">
        <w:rPr>
          <w:i/>
          <w:iCs/>
          <w:color w:val="000000"/>
          <w:lang w:val="en-MY"/>
        </w:rPr>
        <w:t>Journal of International Business, Economics and Entrepreneurship, 8</w:t>
      </w:r>
      <w:r w:rsidRPr="00484AD1">
        <w:rPr>
          <w:color w:val="000000"/>
          <w:lang w:val="en-MY"/>
        </w:rPr>
        <w:t>(1), 1–10.</w:t>
      </w:r>
    </w:p>
    <w:p w14:paraId="3B9DFED9"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Ruiz-Lozano, M., &amp; Tirado-Valencia, P. (2016). Do industrial companies respond to the guiding principles of the Integrated Reporting framework? A preliminary study on the first companies joined to the initiative. </w:t>
      </w:r>
      <w:r w:rsidRPr="00484AD1">
        <w:rPr>
          <w:i/>
          <w:iCs/>
          <w:color w:val="000000"/>
          <w:lang w:val="en-MY"/>
        </w:rPr>
        <w:t xml:space="preserve">Revista de </w:t>
      </w:r>
      <w:proofErr w:type="spellStart"/>
      <w:r w:rsidRPr="00484AD1">
        <w:rPr>
          <w:i/>
          <w:iCs/>
          <w:color w:val="000000"/>
          <w:lang w:val="en-MY"/>
        </w:rPr>
        <w:t>Contabilidad</w:t>
      </w:r>
      <w:proofErr w:type="spellEnd"/>
      <w:r w:rsidRPr="00484AD1">
        <w:rPr>
          <w:i/>
          <w:iCs/>
          <w:color w:val="000000"/>
          <w:lang w:val="en-MY"/>
        </w:rPr>
        <w:t>–Spanish Accounting Review, 19</w:t>
      </w:r>
      <w:r w:rsidRPr="00484AD1">
        <w:rPr>
          <w:color w:val="000000"/>
          <w:lang w:val="en-MY"/>
        </w:rPr>
        <w:t xml:space="preserve">(2), 252–260. </w:t>
      </w:r>
      <w:hyperlink r:id="rId49" w:history="1">
        <w:r w:rsidRPr="00484AD1">
          <w:rPr>
            <w:rStyle w:val="Hyperlink"/>
            <w:sz w:val="20"/>
            <w:lang w:val="en-MY"/>
          </w:rPr>
          <w:t>https://doi.org/10.1016/j.rcsar.2016.02.001</w:t>
        </w:r>
      </w:hyperlink>
    </w:p>
    <w:p w14:paraId="3746A68C"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Saleh, M., Zulkifli, N., &amp; Muhamad, R. (2010). Corporate social responsibility disclosure and its relation on institutional ownership. </w:t>
      </w:r>
      <w:r w:rsidRPr="00484AD1">
        <w:rPr>
          <w:i/>
          <w:iCs/>
          <w:color w:val="000000"/>
          <w:lang w:val="en-MY"/>
        </w:rPr>
        <w:t>Managerial Auditing Journal, 25</w:t>
      </w:r>
      <w:r w:rsidRPr="00484AD1">
        <w:rPr>
          <w:color w:val="000000"/>
          <w:lang w:val="en-MY"/>
        </w:rPr>
        <w:t xml:space="preserve">(6), 591–613. </w:t>
      </w:r>
      <w:hyperlink r:id="rId50" w:history="1">
        <w:r w:rsidRPr="00484AD1">
          <w:rPr>
            <w:rStyle w:val="Hyperlink"/>
            <w:sz w:val="20"/>
            <w:lang w:val="en-MY"/>
          </w:rPr>
          <w:t>https://doi.org/10.1108/02686901011054881</w:t>
        </w:r>
      </w:hyperlink>
    </w:p>
    <w:p w14:paraId="2C7008ED"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Scott, W. R. (2014). </w:t>
      </w:r>
      <w:r w:rsidRPr="00484AD1">
        <w:rPr>
          <w:i/>
          <w:iCs/>
          <w:color w:val="000000"/>
          <w:lang w:val="en-MY"/>
        </w:rPr>
        <w:t>Institutions and organizations: Ideas, interests, and identities</w:t>
      </w:r>
      <w:r w:rsidRPr="00484AD1">
        <w:rPr>
          <w:color w:val="000000"/>
          <w:lang w:val="en-MY"/>
        </w:rPr>
        <w:t xml:space="preserve"> (4th ed.). Sage Publications.</w:t>
      </w:r>
    </w:p>
    <w:p w14:paraId="61132B30"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Simoni, L., Bini, L., &amp; Bellucci, M. (2020). Effects of social, environmental, and institutional factors on sustainability report assurance: Evidence from European countries. </w:t>
      </w:r>
      <w:proofErr w:type="spellStart"/>
      <w:r w:rsidRPr="00484AD1">
        <w:rPr>
          <w:i/>
          <w:iCs/>
          <w:color w:val="000000"/>
          <w:lang w:val="en-MY"/>
        </w:rPr>
        <w:t>Meditari</w:t>
      </w:r>
      <w:proofErr w:type="spellEnd"/>
      <w:r w:rsidRPr="00484AD1">
        <w:rPr>
          <w:i/>
          <w:iCs/>
          <w:color w:val="000000"/>
          <w:lang w:val="en-MY"/>
        </w:rPr>
        <w:t xml:space="preserve"> Accountancy Research, 28</w:t>
      </w:r>
      <w:r w:rsidRPr="00484AD1">
        <w:rPr>
          <w:color w:val="000000"/>
          <w:lang w:val="en-MY"/>
        </w:rPr>
        <w:t xml:space="preserve">(6), 1059–1087. </w:t>
      </w:r>
      <w:hyperlink r:id="rId51" w:history="1">
        <w:r w:rsidRPr="00484AD1">
          <w:rPr>
            <w:rStyle w:val="Hyperlink"/>
            <w:sz w:val="20"/>
            <w:lang w:val="en-MY"/>
          </w:rPr>
          <w:t>https://doi.org/10.1108/MEDAR-03-2019-0462</w:t>
        </w:r>
      </w:hyperlink>
    </w:p>
    <w:p w14:paraId="376CA808"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proofErr w:type="spellStart"/>
      <w:r w:rsidRPr="00484AD1">
        <w:rPr>
          <w:color w:val="000000"/>
          <w:lang w:val="en-MY"/>
        </w:rPr>
        <w:t>Sleuwaegen</w:t>
      </w:r>
      <w:proofErr w:type="spellEnd"/>
      <w:r w:rsidRPr="00484AD1">
        <w:rPr>
          <w:color w:val="000000"/>
          <w:lang w:val="en-MY"/>
        </w:rPr>
        <w:t xml:space="preserve">, L., &amp; </w:t>
      </w:r>
      <w:proofErr w:type="spellStart"/>
      <w:r w:rsidRPr="00484AD1">
        <w:rPr>
          <w:color w:val="000000"/>
          <w:lang w:val="en-MY"/>
        </w:rPr>
        <w:t>Goedhuys</w:t>
      </w:r>
      <w:proofErr w:type="spellEnd"/>
      <w:r w:rsidRPr="00484AD1">
        <w:rPr>
          <w:color w:val="000000"/>
          <w:lang w:val="en-MY"/>
        </w:rPr>
        <w:t xml:space="preserve">, M. (2002). Growth of firms in developing countries: Evidence from Côte d’Ivoire. </w:t>
      </w:r>
      <w:r w:rsidRPr="00484AD1">
        <w:rPr>
          <w:i/>
          <w:iCs/>
          <w:color w:val="000000"/>
          <w:lang w:val="en-MY"/>
        </w:rPr>
        <w:t>Journal of Development Economics, 68</w:t>
      </w:r>
      <w:r w:rsidRPr="00484AD1">
        <w:rPr>
          <w:color w:val="000000"/>
          <w:lang w:val="en-MY"/>
        </w:rPr>
        <w:t xml:space="preserve">(1), 117–135. </w:t>
      </w:r>
      <w:hyperlink r:id="rId52" w:history="1">
        <w:r w:rsidRPr="00484AD1">
          <w:rPr>
            <w:rStyle w:val="Hyperlink"/>
            <w:sz w:val="20"/>
            <w:lang w:val="en-MY"/>
          </w:rPr>
          <w:t>https://doi.org/10.1016/S0304-3878(02)00008-1</w:t>
        </w:r>
      </w:hyperlink>
    </w:p>
    <w:p w14:paraId="5E76FB58"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Sommer, C. (2017). </w:t>
      </w:r>
      <w:r w:rsidRPr="00484AD1">
        <w:rPr>
          <w:i/>
          <w:iCs/>
          <w:color w:val="000000"/>
          <w:lang w:val="en-MY"/>
        </w:rPr>
        <w:t>Drivers and constraints for adopting sustainability standards in small and medium-sized enterprises (SMEs)</w:t>
      </w:r>
      <w:r w:rsidRPr="00484AD1">
        <w:rPr>
          <w:color w:val="000000"/>
          <w:lang w:val="en-MY"/>
        </w:rPr>
        <w:t xml:space="preserve"> (Discussion Paper No. 73). German Development Institute.</w:t>
      </w:r>
    </w:p>
    <w:p w14:paraId="159540E7"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Sroufe, R., &amp; Gopalakrishna-</w:t>
      </w:r>
      <w:proofErr w:type="spellStart"/>
      <w:r w:rsidRPr="00484AD1">
        <w:rPr>
          <w:color w:val="000000"/>
          <w:lang w:val="en-MY"/>
        </w:rPr>
        <w:t>Remani</w:t>
      </w:r>
      <w:proofErr w:type="spellEnd"/>
      <w:r w:rsidRPr="00484AD1">
        <w:rPr>
          <w:color w:val="000000"/>
          <w:lang w:val="en-MY"/>
        </w:rPr>
        <w:t xml:space="preserve">, V. (2019). Management, social sustainability, reputation, and financial performance relationships: An empirical examination of U.S. firms. </w:t>
      </w:r>
      <w:r w:rsidRPr="00484AD1">
        <w:rPr>
          <w:i/>
          <w:iCs/>
          <w:color w:val="000000"/>
          <w:lang w:val="en-MY"/>
        </w:rPr>
        <w:t>Organization &amp; Environment, 32</w:t>
      </w:r>
      <w:r w:rsidRPr="00484AD1">
        <w:rPr>
          <w:color w:val="000000"/>
          <w:lang w:val="en-MY"/>
        </w:rPr>
        <w:t xml:space="preserve">(3), 331–362. </w:t>
      </w:r>
      <w:hyperlink r:id="rId53" w:history="1">
        <w:r w:rsidRPr="00484AD1">
          <w:rPr>
            <w:rStyle w:val="Hyperlink"/>
            <w:sz w:val="20"/>
            <w:lang w:val="en-MY"/>
          </w:rPr>
          <w:t>https://doi.org/10.1177/1086026618756611</w:t>
        </w:r>
      </w:hyperlink>
    </w:p>
    <w:p w14:paraId="19E7A0E8"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Sufian, M. A. (2012). Corporate social responsibility disclosure in Bangladesh. </w:t>
      </w:r>
      <w:r w:rsidRPr="00484AD1">
        <w:rPr>
          <w:i/>
          <w:iCs/>
          <w:color w:val="000000"/>
          <w:lang w:val="en-MY"/>
        </w:rPr>
        <w:t>Global Journal of Management and Business Research, 12</w:t>
      </w:r>
      <w:r w:rsidRPr="00484AD1">
        <w:rPr>
          <w:color w:val="000000"/>
          <w:lang w:val="en-MY"/>
        </w:rPr>
        <w:t>(14), 149–153.</w:t>
      </w:r>
    </w:p>
    <w:p w14:paraId="6614A697"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Tavares, M. da C. da C., &amp; Dias, A. P. (2018). Theoretical perspectives on sustainability reporting: A literature review. In </w:t>
      </w:r>
      <w:r w:rsidRPr="00484AD1">
        <w:rPr>
          <w:i/>
          <w:iCs/>
          <w:color w:val="000000"/>
          <w:lang w:val="en-MY"/>
        </w:rPr>
        <w:t>Accounting from a cross-cultural perspective</w:t>
      </w:r>
      <w:r w:rsidRPr="00484AD1">
        <w:rPr>
          <w:color w:val="000000"/>
          <w:lang w:val="en-MY"/>
        </w:rPr>
        <w:t xml:space="preserve">. </w:t>
      </w:r>
      <w:proofErr w:type="spellStart"/>
      <w:r w:rsidRPr="00484AD1">
        <w:rPr>
          <w:color w:val="000000"/>
          <w:lang w:val="en-MY"/>
        </w:rPr>
        <w:t>IntechOpen</w:t>
      </w:r>
      <w:proofErr w:type="spellEnd"/>
      <w:r w:rsidRPr="00484AD1">
        <w:rPr>
          <w:color w:val="000000"/>
          <w:lang w:val="en-MY"/>
        </w:rPr>
        <w:t xml:space="preserve">. </w:t>
      </w:r>
      <w:hyperlink r:id="rId54" w:history="1">
        <w:r w:rsidRPr="00484AD1">
          <w:rPr>
            <w:rStyle w:val="Hyperlink"/>
            <w:sz w:val="20"/>
            <w:lang w:val="en-MY"/>
          </w:rPr>
          <w:t>https://doi.org/10.5772/intechopen.76951</w:t>
        </w:r>
      </w:hyperlink>
    </w:p>
    <w:p w14:paraId="4147E58B"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Van, H. N., Quoc, H. N., &amp; Le Quoc, D. (2025). Towards sustainable development: Drivers from financial and institutional development. </w:t>
      </w:r>
      <w:r w:rsidRPr="00484AD1">
        <w:rPr>
          <w:i/>
          <w:iCs/>
          <w:color w:val="000000"/>
          <w:lang w:val="en-MY"/>
        </w:rPr>
        <w:t>Journal of Public Affairs, 25</w:t>
      </w:r>
      <w:r w:rsidRPr="00484AD1">
        <w:rPr>
          <w:color w:val="000000"/>
          <w:lang w:val="en-MY"/>
        </w:rPr>
        <w:t>(3), e70073.</w:t>
      </w:r>
    </w:p>
    <w:p w14:paraId="7E3DD48B"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Waheed, A., Hussain, S., Hanif, H., Mahmood, H., &amp; Malik, Q. A. (2021). Corporate social responsibility and firm performance: The moderation of investment horizon and corporate governance. </w:t>
      </w:r>
      <w:r w:rsidRPr="00484AD1">
        <w:rPr>
          <w:i/>
          <w:iCs/>
          <w:color w:val="000000"/>
          <w:lang w:val="en-MY"/>
        </w:rPr>
        <w:t>Cogent Business &amp; Management, 8</w:t>
      </w:r>
      <w:r w:rsidRPr="00484AD1">
        <w:rPr>
          <w:color w:val="000000"/>
          <w:lang w:val="en-MY"/>
        </w:rPr>
        <w:t xml:space="preserve">(1), 1938349. </w:t>
      </w:r>
      <w:hyperlink r:id="rId55" w:history="1">
        <w:r w:rsidRPr="00484AD1">
          <w:rPr>
            <w:rStyle w:val="Hyperlink"/>
            <w:sz w:val="20"/>
            <w:lang w:val="en-MY"/>
          </w:rPr>
          <w:t>https://doi.org/10.1080/23311975.2021.1938349</w:t>
        </w:r>
      </w:hyperlink>
    </w:p>
    <w:p w14:paraId="250FCA8A" w14:textId="3C0E5254"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Wang, Y. (2016). What are the biggest obstacles to growth of SMEs in developing countries? </w:t>
      </w:r>
      <w:r w:rsidRPr="00484AD1">
        <w:rPr>
          <w:color w:val="000000"/>
          <w:lang w:val="en-MY"/>
        </w:rPr>
        <w:t>Empirical evidence</w:t>
      </w:r>
      <w:r w:rsidRPr="00484AD1">
        <w:rPr>
          <w:color w:val="000000"/>
          <w:lang w:val="en-MY"/>
        </w:rPr>
        <w:t xml:space="preserve"> from an enterprise survey. </w:t>
      </w:r>
      <w:r w:rsidRPr="00484AD1">
        <w:rPr>
          <w:i/>
          <w:iCs/>
          <w:color w:val="000000"/>
          <w:lang w:val="en-MY"/>
        </w:rPr>
        <w:t>Borsa Istanbul Review, 16</w:t>
      </w:r>
      <w:r w:rsidRPr="00484AD1">
        <w:rPr>
          <w:color w:val="000000"/>
          <w:lang w:val="en-MY"/>
        </w:rPr>
        <w:t xml:space="preserve">(3), 167–176. </w:t>
      </w:r>
      <w:hyperlink r:id="rId56" w:history="1">
        <w:r w:rsidRPr="00484AD1">
          <w:rPr>
            <w:rStyle w:val="Hyperlink"/>
            <w:sz w:val="20"/>
            <w:lang w:val="en-MY"/>
          </w:rPr>
          <w:t>https://doi.org/10.1016/j.bir.2016.06.001</w:t>
        </w:r>
      </w:hyperlink>
    </w:p>
    <w:p w14:paraId="69D9D54A"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r w:rsidRPr="00484AD1">
        <w:rPr>
          <w:color w:val="000000"/>
          <w:lang w:val="en-MY"/>
        </w:rPr>
        <w:t xml:space="preserve">Yang, J., Liu, H., Wang, Y., Qiu, Z., Dong, Z., Suzuki, T., Noguchi, T., &amp; Watabe, M. (2020). Key index framework for quantitative sustainability assessment of energy infrastructures in a smart city: An example of Western Sydney. </w:t>
      </w:r>
      <w:r w:rsidRPr="00484AD1">
        <w:rPr>
          <w:i/>
          <w:iCs/>
          <w:color w:val="000000"/>
          <w:lang w:val="en-MY"/>
        </w:rPr>
        <w:t>Energy Conversion and Economics, 1</w:t>
      </w:r>
      <w:r w:rsidRPr="00484AD1">
        <w:rPr>
          <w:color w:val="000000"/>
          <w:lang w:val="en-MY"/>
        </w:rPr>
        <w:t xml:space="preserve">(3), 221–237. </w:t>
      </w:r>
      <w:hyperlink r:id="rId57" w:history="1">
        <w:r w:rsidRPr="00484AD1">
          <w:rPr>
            <w:rStyle w:val="Hyperlink"/>
            <w:sz w:val="20"/>
            <w:lang w:val="en-MY"/>
          </w:rPr>
          <w:t>https://doi.org/10.1049/enc2.12017</w:t>
        </w:r>
      </w:hyperlink>
    </w:p>
    <w:p w14:paraId="64D86AD2" w14:textId="77777777" w:rsidR="00484AD1" w:rsidRPr="00484AD1" w:rsidRDefault="00484AD1" w:rsidP="00484AD1">
      <w:pPr>
        <w:widowControl w:val="0"/>
        <w:pBdr>
          <w:top w:val="nil"/>
          <w:left w:val="nil"/>
          <w:bottom w:val="nil"/>
          <w:right w:val="nil"/>
          <w:between w:val="nil"/>
        </w:pBdr>
        <w:ind w:left="567" w:hanging="567"/>
        <w:jc w:val="both"/>
        <w:rPr>
          <w:color w:val="000000"/>
          <w:lang w:val="en-MY"/>
        </w:rPr>
      </w:pPr>
      <w:proofErr w:type="spellStart"/>
      <w:r w:rsidRPr="00484AD1">
        <w:rPr>
          <w:color w:val="000000"/>
          <w:lang w:val="en-MY"/>
        </w:rPr>
        <w:t>Yazdanfar</w:t>
      </w:r>
      <w:proofErr w:type="spellEnd"/>
      <w:r w:rsidRPr="00484AD1">
        <w:rPr>
          <w:color w:val="000000"/>
          <w:lang w:val="en-MY"/>
        </w:rPr>
        <w:t xml:space="preserve">, D., &amp; Öhman, P. (2015). Debt financing and firm performance: An empirical study based on Swedish data. </w:t>
      </w:r>
      <w:r w:rsidRPr="00484AD1">
        <w:rPr>
          <w:i/>
          <w:iCs/>
          <w:color w:val="000000"/>
          <w:lang w:val="en-MY"/>
        </w:rPr>
        <w:t>Journal of Risk Finance, 16</w:t>
      </w:r>
      <w:r w:rsidRPr="00484AD1">
        <w:rPr>
          <w:color w:val="000000"/>
          <w:lang w:val="en-MY"/>
        </w:rPr>
        <w:t xml:space="preserve">(1), 102–118. </w:t>
      </w:r>
      <w:hyperlink r:id="rId58" w:history="1">
        <w:r w:rsidRPr="00484AD1">
          <w:rPr>
            <w:rStyle w:val="Hyperlink"/>
            <w:sz w:val="20"/>
            <w:lang w:val="en-MY"/>
          </w:rPr>
          <w:t>https://doi.org/10.1108/JRF-06-2014-0085</w:t>
        </w:r>
      </w:hyperlink>
    </w:p>
    <w:p w14:paraId="23D56E9C" w14:textId="77777777" w:rsidR="00484AD1" w:rsidRDefault="00484AD1" w:rsidP="0002343C">
      <w:pPr>
        <w:widowControl w:val="0"/>
        <w:pBdr>
          <w:top w:val="nil"/>
          <w:left w:val="nil"/>
          <w:bottom w:val="nil"/>
          <w:right w:val="nil"/>
          <w:between w:val="nil"/>
        </w:pBdr>
        <w:jc w:val="both"/>
        <w:rPr>
          <w:color w:val="000000"/>
        </w:rPr>
      </w:pPr>
    </w:p>
    <w:p w14:paraId="6606804A" w14:textId="77777777" w:rsidR="001F3214" w:rsidRDefault="001F3214" w:rsidP="00EE09C0">
      <w:pPr>
        <w:jc w:val="both"/>
      </w:pPr>
    </w:p>
    <w:p w14:paraId="6F8E0B95" w14:textId="77777777" w:rsidR="001F3214" w:rsidRDefault="001F3214" w:rsidP="001F3214">
      <w:pPr>
        <w:rPr>
          <w:b/>
          <w:i/>
        </w:rPr>
      </w:pP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6"/>
        <w:gridCol w:w="5360"/>
      </w:tblGrid>
      <w:tr w:rsidR="003C073E" w:rsidRPr="007918B4" w14:paraId="3E8B4B3D" w14:textId="77777777" w:rsidTr="001F7D55">
        <w:tc>
          <w:tcPr>
            <w:tcW w:w="2436" w:type="dxa"/>
          </w:tcPr>
          <w:p w14:paraId="5C15CCD6" w14:textId="77777777" w:rsidR="003C073E" w:rsidRDefault="003C073E" w:rsidP="001F7D55">
            <w:pPr>
              <w:rPr>
                <w:sz w:val="18"/>
                <w:szCs w:val="18"/>
              </w:rPr>
            </w:pPr>
            <w:r>
              <w:rPr>
                <w:rFonts w:eastAsia="SimSun"/>
                <w:bCs/>
                <w:noProof/>
                <w:lang w:val="en-MY"/>
              </w:rPr>
              <w:drawing>
                <wp:inline distT="0" distB="0" distL="0" distR="0" wp14:anchorId="00D24B2A" wp14:editId="1E9A423B">
                  <wp:extent cx="1408619" cy="478155"/>
                  <wp:effectExtent l="0" t="0" r="1270" b="0"/>
                  <wp:docPr id="14636211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621101" name="Picture 1463621101"/>
                          <pic:cNvPicPr/>
                        </pic:nvPicPr>
                        <pic:blipFill>
                          <a:blip r:embed="rId59">
                            <a:extLst>
                              <a:ext uri="{28A0092B-C50C-407E-A947-70E740481C1C}">
                                <a14:useLocalDpi xmlns:a14="http://schemas.microsoft.com/office/drawing/2010/main" val="0"/>
                              </a:ext>
                            </a:extLst>
                          </a:blip>
                          <a:stretch>
                            <a:fillRect/>
                          </a:stretch>
                        </pic:blipFill>
                        <pic:spPr>
                          <a:xfrm>
                            <a:off x="0" y="0"/>
                            <a:ext cx="1421110" cy="482395"/>
                          </a:xfrm>
                          <a:prstGeom prst="rect">
                            <a:avLst/>
                          </a:prstGeom>
                        </pic:spPr>
                      </pic:pic>
                    </a:graphicData>
                  </a:graphic>
                </wp:inline>
              </w:drawing>
            </w:r>
          </w:p>
        </w:tc>
        <w:tc>
          <w:tcPr>
            <w:tcW w:w="5360" w:type="dxa"/>
          </w:tcPr>
          <w:p w14:paraId="4B600ACE" w14:textId="113B263E" w:rsidR="003C073E" w:rsidRPr="007918B4" w:rsidRDefault="003C073E" w:rsidP="001F7D55">
            <w:pPr>
              <w:rPr>
                <w:sz w:val="18"/>
                <w:szCs w:val="18"/>
              </w:rPr>
            </w:pPr>
            <w:r w:rsidRPr="007918B4">
              <w:rPr>
                <w:rFonts w:eastAsia="SimSun"/>
                <w:bCs/>
                <w:sz w:val="18"/>
                <w:szCs w:val="18"/>
                <w:lang w:val="en-MY"/>
              </w:rPr>
              <w:t xml:space="preserve">© by the authors. Submitted for possible open access publication under the terms and conditions of the Creative Commons Attribution </w:t>
            </w:r>
            <w:r w:rsidR="00B92883">
              <w:rPr>
                <w:rFonts w:eastAsia="SimSun"/>
                <w:bCs/>
                <w:sz w:val="18"/>
                <w:szCs w:val="18"/>
                <w:lang w:val="en-MY"/>
              </w:rPr>
              <w:t xml:space="preserve">       </w:t>
            </w:r>
            <w:r w:rsidRPr="007918B4">
              <w:rPr>
                <w:rFonts w:eastAsia="SimSun"/>
                <w:bCs/>
                <w:sz w:val="18"/>
                <w:szCs w:val="18"/>
                <w:lang w:val="en-MY"/>
              </w:rPr>
              <w:t>(CC BY-NC-SA 4.0)</w:t>
            </w:r>
            <w:r w:rsidR="00B92883">
              <w:rPr>
                <w:rFonts w:eastAsia="SimSun"/>
                <w:bCs/>
                <w:sz w:val="18"/>
                <w:szCs w:val="18"/>
                <w:lang w:val="en-MY"/>
              </w:rPr>
              <w:t xml:space="preserve"> </w:t>
            </w:r>
            <w:r w:rsidRPr="007918B4">
              <w:rPr>
                <w:rFonts w:eastAsia="SimSun"/>
                <w:bCs/>
                <w:sz w:val="18"/>
                <w:szCs w:val="18"/>
                <w:lang w:val="en-MY"/>
              </w:rPr>
              <w:t>license</w:t>
            </w:r>
            <w:r w:rsidR="00B92883">
              <w:rPr>
                <w:rFonts w:eastAsia="SimSun"/>
                <w:bCs/>
                <w:sz w:val="18"/>
                <w:szCs w:val="18"/>
                <w:lang w:val="en-MY"/>
              </w:rPr>
              <w:t xml:space="preserve"> </w:t>
            </w:r>
            <w:r w:rsidRPr="007918B4">
              <w:rPr>
                <w:rFonts w:eastAsia="SimSun"/>
                <w:bCs/>
                <w:sz w:val="18"/>
                <w:szCs w:val="18"/>
                <w:lang w:val="en-MY"/>
              </w:rPr>
              <w:t xml:space="preserve"> (https://creativecommons.org/licenses/by-nc-sa/4.0/deed.en).</w:t>
            </w:r>
          </w:p>
        </w:tc>
      </w:tr>
    </w:tbl>
    <w:p w14:paraId="492E1250" w14:textId="297340F5" w:rsidR="006C02E2" w:rsidRPr="006C02E2" w:rsidRDefault="006C02E2" w:rsidP="006C02E2">
      <w:pPr>
        <w:tabs>
          <w:tab w:val="left" w:pos="1764"/>
        </w:tabs>
      </w:pPr>
    </w:p>
    <w:sectPr w:rsidR="006C02E2" w:rsidRPr="006C02E2" w:rsidSect="001E5F2B">
      <w:headerReference w:type="even" r:id="rId60"/>
      <w:headerReference w:type="default" r:id="rId61"/>
      <w:footerReference w:type="even" r:id="rId62"/>
      <w:footerReference w:type="default" r:id="rId63"/>
      <w:headerReference w:type="first" r:id="rId64"/>
      <w:footerReference w:type="first" r:id="rId65"/>
      <w:type w:val="continuous"/>
      <w:pgSz w:w="10886" w:h="14854"/>
      <w:pgMar w:top="754" w:right="1191" w:bottom="1418" w:left="1191" w:header="907" w:footer="1202" w:gutter="0"/>
      <w:pgNumType w:start="53"/>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51B4F" w14:textId="77777777" w:rsidR="005418A5" w:rsidRDefault="005418A5">
      <w:r>
        <w:separator/>
      </w:r>
    </w:p>
  </w:endnote>
  <w:endnote w:type="continuationSeparator" w:id="0">
    <w:p w14:paraId="6BB8EB73" w14:textId="77777777" w:rsidR="005418A5" w:rsidRDefault="00541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F68018E1-9F97-4D4E-B3C7-D0DE8725FDF6}"/>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embedRegular r:id="rId2" w:fontKey="{9817C90E-2978-40AA-A720-237840B3B5F0}"/>
    <w:embedItalic r:id="rId3" w:fontKey="{5ECEE9E0-334C-47F1-A946-33F793836515}"/>
  </w:font>
  <w:font w:name="Helvetica">
    <w:panose1 w:val="020B0604020202020204"/>
    <w:charset w:val="00"/>
    <w:family w:val="swiss"/>
    <w:pitch w:val="variable"/>
    <w:sig w:usb0="E0002EFF" w:usb1="C000785B" w:usb2="00000009" w:usb3="00000000" w:csb0="000001FF" w:csb1="00000000"/>
    <w:embedBold r:id="rId4" w:fontKey="{5454BE11-C90C-4E16-BA00-CD1EA184CD45}"/>
  </w:font>
  <w:font w:name="Univers">
    <w:charset w:val="00"/>
    <w:family w:val="swiss"/>
    <w:pitch w:val="variable"/>
    <w:sig w:usb0="80000287" w:usb1="00000000" w:usb2="00000000" w:usb3="00000000" w:csb0="0000000F" w:csb1="00000000"/>
    <w:embedRegular r:id="rId5" w:fontKey="{5681CC6C-67A8-4EE2-A8FA-16934438C400}"/>
    <w:embedBold r:id="rId6" w:fontKey="{B89F279E-6CFE-4F4E-B65F-127513AC0F79}"/>
  </w:font>
  <w:font w:name="Tahoma">
    <w:panose1 w:val="020B0604030504040204"/>
    <w:charset w:val="00"/>
    <w:family w:val="swiss"/>
    <w:pitch w:val="variable"/>
    <w:sig w:usb0="E1002EFF" w:usb1="C000605B" w:usb2="00000029" w:usb3="00000000" w:csb0="000101FF" w:csb1="00000000"/>
    <w:embedRegular r:id="rId7" w:fontKey="{9E94F3EE-3B85-4EFB-983D-9B2127B7FB61}"/>
  </w:font>
  <w:font w:name="Palatino Linotype">
    <w:panose1 w:val="02040502050505030304"/>
    <w:charset w:val="00"/>
    <w:family w:val="roman"/>
    <w:pitch w:val="variable"/>
    <w:sig w:usb0="E0000287" w:usb1="40000013" w:usb2="00000000" w:usb3="00000000" w:csb0="0000019F" w:csb1="00000000"/>
    <w:embedRegular r:id="rId8" w:fontKey="{363BD18B-7841-491D-A6C1-6940993EF59F}"/>
  </w:font>
  <w:font w:name="Georgia">
    <w:panose1 w:val="02040502050405020303"/>
    <w:charset w:val="00"/>
    <w:family w:val="roman"/>
    <w:pitch w:val="variable"/>
    <w:sig w:usb0="00000287" w:usb1="00000000" w:usb2="00000000" w:usb3="00000000" w:csb0="0000009F" w:csb1="00000000"/>
    <w:embedRegular r:id="rId9" w:fontKey="{ED94373F-66BB-44D0-A0E3-0175B315FE47}"/>
    <w:embedItalic r:id="rId10" w:fontKey="{1F95B70A-E16D-46F7-BA9F-2C43CC8A8140}"/>
  </w:font>
  <w:font w:name="SimSun">
    <w:altName w:val="宋体"/>
    <w:panose1 w:val="02010600030101010101"/>
    <w:charset w:val="86"/>
    <w:family w:val="auto"/>
    <w:pitch w:val="variable"/>
    <w:sig w:usb0="00000203" w:usb1="288F0000" w:usb2="00000016" w:usb3="00000000" w:csb0="00040001" w:csb1="00000000"/>
  </w:font>
  <w:font w:name="Noto Sans">
    <w:charset w:val="00"/>
    <w:family w:val="swiss"/>
    <w:pitch w:val="variable"/>
    <w:sig w:usb0="E00082FF" w:usb1="400078FF" w:usb2="00000021" w:usb3="00000000" w:csb0="0000019F" w:csb1="00000000"/>
    <w:embedRegular r:id="rId11" w:fontKey="{CEFC084F-E748-4E99-949C-FFACC8F2CD61}"/>
  </w:font>
  <w:font w:name="Arial Narrow">
    <w:panose1 w:val="020B0606020202030204"/>
    <w:charset w:val="00"/>
    <w:family w:val="swiss"/>
    <w:pitch w:val="variable"/>
    <w:sig w:usb0="00000287" w:usb1="00000800" w:usb2="00000000" w:usb3="00000000" w:csb0="0000009F" w:csb1="00000000"/>
    <w:embedBold r:id="rId12" w:fontKey="{39C55B05-AE75-4399-9BA7-40390023EB1C}"/>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3" w:fontKey="{7211E8E5-4E97-49C2-AC6E-6D7A3380F3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C537A" w14:textId="77777777" w:rsidR="00F954CA" w:rsidRDefault="00F954CA">
    <w:pPr>
      <w:pBdr>
        <w:top w:val="nil"/>
        <w:left w:val="nil"/>
        <w:bottom w:val="nil"/>
        <w:right w:val="nil"/>
        <w:between w:val="nil"/>
      </w:pBdr>
      <w:tabs>
        <w:tab w:val="right" w:pos="10080"/>
      </w:tabs>
      <w:spacing w:after="240"/>
      <w:rPr>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0DAEB" w14:textId="3D6012FE" w:rsidR="00F954CA" w:rsidRDefault="00F954CA">
    <w:pPr>
      <w:pBdr>
        <w:top w:val="nil"/>
        <w:left w:val="nil"/>
        <w:bottom w:val="nil"/>
        <w:right w:val="nil"/>
        <w:between w:val="nil"/>
      </w:pBdr>
      <w:tabs>
        <w:tab w:val="right" w:pos="10080"/>
        <w:tab w:val="right" w:pos="8504"/>
      </w:tabs>
      <w:spacing w:after="240"/>
      <w:rPr>
        <w:color w:val="000000"/>
        <w:sz w:val="16"/>
        <w:szCs w:val="16"/>
      </w:rPr>
    </w:pPr>
    <w:r>
      <w:rPr>
        <w:color w:val="000000"/>
        <w:sz w:val="16"/>
        <w:szCs w:val="16"/>
      </w:rPr>
      <w:tab/>
      <w:t>UiTM Press, Universiti Teknologi MARA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F00F" w14:textId="670026A1" w:rsidR="00F954CA" w:rsidRDefault="00F954CA">
    <w:pPr>
      <w:pBdr>
        <w:top w:val="nil"/>
        <w:left w:val="nil"/>
        <w:bottom w:val="nil"/>
        <w:right w:val="nil"/>
        <w:between w:val="nil"/>
      </w:pBdr>
      <w:tabs>
        <w:tab w:val="right" w:pos="10080"/>
        <w:tab w:val="left" w:pos="0"/>
        <w:tab w:val="right" w:pos="8505"/>
      </w:tabs>
      <w:spacing w:after="240"/>
      <w:rPr>
        <w:color w:val="000000"/>
        <w:sz w:val="16"/>
        <w:szCs w:val="16"/>
      </w:rPr>
    </w:pPr>
    <w:r>
      <w:rPr>
        <w:color w:val="000000"/>
        <w:sz w:val="16"/>
        <w:szCs w:val="16"/>
      </w:rPr>
      <w:t xml:space="preserve">                 </w:t>
    </w:r>
    <w:r>
      <w:rPr>
        <w:color w:val="000000"/>
        <w:sz w:val="16"/>
        <w:szCs w:val="16"/>
      </w:rPr>
      <w:tab/>
      <w:t>UiTM Press, Universiti Teknologi MARA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043A4" w14:textId="77777777" w:rsidR="005418A5" w:rsidRDefault="005418A5">
      <w:r>
        <w:separator/>
      </w:r>
    </w:p>
  </w:footnote>
  <w:footnote w:type="continuationSeparator" w:id="0">
    <w:p w14:paraId="369B4145" w14:textId="77777777" w:rsidR="005418A5" w:rsidRDefault="00541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7EBE" w14:textId="25BD7D81" w:rsidR="00F954CA" w:rsidRDefault="00F954CA">
    <w:pPr>
      <w:pBdr>
        <w:top w:val="nil"/>
        <w:left w:val="nil"/>
        <w:bottom w:val="nil"/>
        <w:right w:val="nil"/>
        <w:between w:val="nil"/>
      </w:pBdr>
      <w:tabs>
        <w:tab w:val="center" w:pos="4706"/>
        <w:tab w:val="right" w:pos="9356"/>
        <w:tab w:val="center" w:pos="3969"/>
      </w:tabs>
      <w:spacing w:after="240"/>
      <w:jc w:val="both"/>
      <w:rPr>
        <w:i/>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sidR="0034382C">
      <w:rPr>
        <w:noProof/>
        <w:color w:val="000000"/>
        <w:sz w:val="16"/>
        <w:szCs w:val="16"/>
      </w:rPr>
      <w:t>14</w:t>
    </w:r>
    <w:r>
      <w:rPr>
        <w:color w:val="000000"/>
        <w:sz w:val="16"/>
        <w:szCs w:val="16"/>
      </w:rPr>
      <w:fldChar w:fldCharType="end"/>
    </w:r>
    <w:r>
      <w:rPr>
        <w:i/>
        <w:color w:val="000000"/>
        <w:sz w:val="16"/>
        <w:szCs w:val="16"/>
      </w:rPr>
      <w:tab/>
      <w:t>First Author et al./ Journal of Emerging Economies and Islamic Research (2016) Vol. X, No. 1</w:t>
    </w:r>
  </w:p>
  <w:p w14:paraId="75E00A8C" w14:textId="77777777" w:rsidR="00F954CA" w:rsidRDefault="00F954CA"/>
  <w:p w14:paraId="2F01A0A9" w14:textId="77777777" w:rsidR="00F954CA" w:rsidRDefault="00F954CA"/>
  <w:p w14:paraId="6C7D3A59" w14:textId="77777777" w:rsidR="00F954CA" w:rsidRDefault="00F954C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F40B0" w14:textId="65CD2FE7" w:rsidR="00F954CA" w:rsidRDefault="001E5F2B">
    <w:pPr>
      <w:pBdr>
        <w:top w:val="nil"/>
        <w:left w:val="nil"/>
        <w:bottom w:val="nil"/>
        <w:right w:val="nil"/>
        <w:between w:val="nil"/>
      </w:pBdr>
      <w:tabs>
        <w:tab w:val="center" w:pos="4706"/>
        <w:tab w:val="right" w:pos="9356"/>
        <w:tab w:val="center" w:pos="4253"/>
      </w:tabs>
      <w:spacing w:after="240"/>
      <w:rPr>
        <w:i/>
        <w:color w:val="FF0000"/>
        <w:sz w:val="16"/>
        <w:szCs w:val="16"/>
      </w:rPr>
    </w:pPr>
    <w:r w:rsidRPr="001E5F2B">
      <w:rPr>
        <w:color w:val="000000"/>
        <w:sz w:val="16"/>
        <w:szCs w:val="16"/>
      </w:rPr>
      <w:fldChar w:fldCharType="begin"/>
    </w:r>
    <w:r w:rsidRPr="001E5F2B">
      <w:rPr>
        <w:color w:val="000000"/>
        <w:sz w:val="16"/>
        <w:szCs w:val="16"/>
      </w:rPr>
      <w:instrText xml:space="preserve"> PAGE   \* MERGEFORMAT </w:instrText>
    </w:r>
    <w:r w:rsidRPr="001E5F2B">
      <w:rPr>
        <w:color w:val="000000"/>
        <w:sz w:val="16"/>
        <w:szCs w:val="16"/>
      </w:rPr>
      <w:fldChar w:fldCharType="separate"/>
    </w:r>
    <w:r w:rsidRPr="001E5F2B">
      <w:rPr>
        <w:noProof/>
        <w:color w:val="000000"/>
        <w:sz w:val="16"/>
        <w:szCs w:val="16"/>
      </w:rPr>
      <w:t>1</w:t>
    </w:r>
    <w:r w:rsidRPr="001E5F2B">
      <w:rPr>
        <w:noProof/>
        <w:color w:val="000000"/>
        <w:sz w:val="16"/>
        <w:szCs w:val="16"/>
      </w:rPr>
      <w:fldChar w:fldCharType="end"/>
    </w:r>
    <w:r w:rsidR="00F954CA">
      <w:rPr>
        <w:color w:val="000000"/>
        <w:sz w:val="16"/>
        <w:szCs w:val="16"/>
      </w:rPr>
      <w:tab/>
    </w:r>
    <w:r w:rsidR="005064F8">
      <w:rPr>
        <w:i/>
        <w:color w:val="000000" w:themeColor="text1"/>
        <w:sz w:val="16"/>
        <w:szCs w:val="16"/>
      </w:rPr>
      <w:t>Musa</w:t>
    </w:r>
    <w:r w:rsidR="000452A4" w:rsidRPr="00407132">
      <w:rPr>
        <w:i/>
        <w:color w:val="000000" w:themeColor="text1"/>
        <w:sz w:val="16"/>
        <w:szCs w:val="16"/>
      </w:rPr>
      <w:t xml:space="preserve"> et al. / </w:t>
    </w:r>
    <w:r w:rsidR="000452A4" w:rsidRPr="00407132">
      <w:rPr>
        <w:i/>
        <w:color w:val="000000" w:themeColor="text1"/>
        <w:sz w:val="16"/>
        <w:szCs w:val="16"/>
        <w:highlight w:val="white"/>
      </w:rPr>
      <w:t>Journal of International Business, Economics and Entrepreneurship</w:t>
    </w:r>
    <w:r w:rsidR="000452A4">
      <w:rPr>
        <w:i/>
        <w:color w:val="000000" w:themeColor="text1"/>
        <w:sz w:val="16"/>
        <w:szCs w:val="16"/>
      </w:rPr>
      <w:t xml:space="preserve"> </w:t>
    </w:r>
    <w:r w:rsidR="000452A4" w:rsidRPr="00745A95">
      <w:rPr>
        <w:i/>
        <w:color w:val="000000" w:themeColor="text1"/>
        <w:sz w:val="16"/>
        <w:szCs w:val="16"/>
      </w:rPr>
      <w:t xml:space="preserve">/ </w:t>
    </w:r>
    <w:r w:rsidRPr="000A432F">
      <w:rPr>
        <w:i/>
        <w:iCs/>
        <w:sz w:val="14"/>
        <w:szCs w:val="14"/>
      </w:rPr>
      <w:t>Vol.11 No.1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291" w:type="dxa"/>
      <w:tblLayout w:type="fixed"/>
      <w:tblCellMar>
        <w:left w:w="0" w:type="dxa"/>
        <w:right w:w="0" w:type="dxa"/>
      </w:tblCellMar>
      <w:tblLook w:val="0000" w:firstRow="0" w:lastRow="0" w:firstColumn="0" w:lastColumn="0" w:noHBand="0" w:noVBand="0"/>
    </w:tblPr>
    <w:tblGrid>
      <w:gridCol w:w="1843"/>
      <w:gridCol w:w="4536"/>
      <w:gridCol w:w="1912"/>
    </w:tblGrid>
    <w:tr w:rsidR="00F954CA" w:rsidRPr="003C2A46" w14:paraId="35EBB447" w14:textId="77777777" w:rsidTr="00AD124C">
      <w:trPr>
        <w:cantSplit/>
        <w:trHeight w:val="955"/>
      </w:trPr>
      <w:tc>
        <w:tcPr>
          <w:tcW w:w="1843" w:type="dxa"/>
          <w:vMerge w:val="restart"/>
          <w:vAlign w:val="center"/>
        </w:tcPr>
        <w:p w14:paraId="7A964269" w14:textId="77777777" w:rsidR="00F954CA" w:rsidRPr="00D335A5" w:rsidRDefault="00F954CA" w:rsidP="005B6F66">
          <w:pPr>
            <w:pStyle w:val="FootnoteText"/>
            <w:jc w:val="center"/>
            <w:rPr>
              <w:rStyle w:val="Hyperlink"/>
              <w:rFonts w:ascii="Times New Roman" w:hAnsi="Times New Roman"/>
              <w:sz w:val="14"/>
              <w:szCs w:val="14"/>
            </w:rPr>
          </w:pPr>
          <w:r w:rsidRPr="00FA76D0">
            <w:rPr>
              <w:b/>
              <w:noProof/>
              <w:sz w:val="14"/>
              <w:szCs w:val="14"/>
              <w:lang w:val="en-MY" w:eastAsia="en-MY"/>
            </w:rPr>
            <w:drawing>
              <wp:inline distT="0" distB="0" distL="0" distR="0" wp14:anchorId="678676C1" wp14:editId="2C86B2DD">
                <wp:extent cx="818147" cy="683584"/>
                <wp:effectExtent l="0" t="0" r="1270" b="2540"/>
                <wp:docPr id="1926453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227339" name=""/>
                        <pic:cNvPicPr/>
                      </pic:nvPicPr>
                      <pic:blipFill>
                        <a:blip r:embed="rId1"/>
                        <a:stretch>
                          <a:fillRect/>
                        </a:stretch>
                      </pic:blipFill>
                      <pic:spPr>
                        <a:xfrm>
                          <a:off x="0" y="0"/>
                          <a:ext cx="859637" cy="718250"/>
                        </a:xfrm>
                        <a:prstGeom prst="rect">
                          <a:avLst/>
                        </a:prstGeom>
                      </pic:spPr>
                    </pic:pic>
                  </a:graphicData>
                </a:graphic>
              </wp:inline>
            </w:drawing>
          </w:r>
          <w:r>
            <w:rPr>
              <w:rStyle w:val="Hyperlink"/>
              <w:rFonts w:ascii="Times New Roman" w:hAnsi="Times New Roman"/>
              <w:sz w:val="12"/>
            </w:rPr>
            <w:br/>
          </w:r>
        </w:p>
        <w:p w14:paraId="717EBD03" w14:textId="77777777" w:rsidR="00F954CA" w:rsidRPr="003C2A46" w:rsidRDefault="00F954CA" w:rsidP="005B6F66">
          <w:pPr>
            <w:pStyle w:val="FootnoteText"/>
            <w:rPr>
              <w:rFonts w:ascii="Times New Roman" w:hAnsi="Times New Roman"/>
            </w:rPr>
          </w:pPr>
          <w:r>
            <w:rPr>
              <w:rStyle w:val="Hyperlink"/>
              <w:rFonts w:ascii="Times New Roman" w:hAnsi="Times New Roman"/>
              <w:sz w:val="14"/>
              <w:szCs w:val="14"/>
            </w:rPr>
            <w:t xml:space="preserve">      </w:t>
          </w:r>
          <w:r w:rsidRPr="00D335A5">
            <w:rPr>
              <w:rStyle w:val="Hyperlink"/>
              <w:rFonts w:ascii="Times New Roman" w:hAnsi="Times New Roman"/>
              <w:sz w:val="14"/>
              <w:szCs w:val="14"/>
            </w:rPr>
            <w:t>ISSN: 2550-1429</w:t>
          </w:r>
          <w:r>
            <w:rPr>
              <w:rStyle w:val="Hyperlink"/>
              <w:rFonts w:ascii="Times New Roman" w:hAnsi="Times New Roman"/>
              <w:sz w:val="14"/>
              <w:szCs w:val="14"/>
            </w:rPr>
            <w:t xml:space="preserve"> (Online)</w:t>
          </w:r>
        </w:p>
      </w:tc>
      <w:tc>
        <w:tcPr>
          <w:tcW w:w="4536" w:type="dxa"/>
        </w:tcPr>
        <w:p w14:paraId="64D11AE8" w14:textId="77777777" w:rsidR="000573D3" w:rsidRDefault="00F954CA" w:rsidP="000573D3">
          <w:pPr>
            <w:jc w:val="center"/>
            <w:rPr>
              <w:rStyle w:val="Hyperlink"/>
              <w:sz w:val="14"/>
            </w:rPr>
          </w:pPr>
          <w:r w:rsidRPr="00931512">
            <w:rPr>
              <w:rStyle w:val="Hyperlink"/>
              <w:sz w:val="14"/>
            </w:rPr>
            <w:t>Available online at</w:t>
          </w:r>
        </w:p>
        <w:p w14:paraId="26261A7F" w14:textId="450220FB" w:rsidR="00F954CA" w:rsidRDefault="00F954CA" w:rsidP="000573D3">
          <w:pPr>
            <w:jc w:val="center"/>
            <w:rPr>
              <w:rStyle w:val="Hyperlink"/>
              <w:sz w:val="14"/>
              <w:szCs w:val="14"/>
            </w:rPr>
          </w:pPr>
          <w:hyperlink r:id="rId2" w:history="1">
            <w:r w:rsidRPr="000D4618">
              <w:rPr>
                <w:rStyle w:val="Hyperlink"/>
                <w:sz w:val="14"/>
                <w:szCs w:val="14"/>
              </w:rPr>
              <w:t>https://journal.uitm.edu.my/ojs/index.php/jibe</w:t>
            </w:r>
          </w:hyperlink>
        </w:p>
        <w:p w14:paraId="1ED33E19" w14:textId="77777777" w:rsidR="00F954CA" w:rsidRDefault="00F954CA" w:rsidP="000573D3">
          <w:pPr>
            <w:ind w:left="720" w:right="927"/>
            <w:jc w:val="center"/>
            <w:rPr>
              <w:rFonts w:ascii="Arial Narrow" w:hAnsi="Arial Narrow" w:cs="Arial"/>
              <w:b/>
              <w:sz w:val="24"/>
              <w:szCs w:val="24"/>
            </w:rPr>
          </w:pPr>
          <w:r>
            <w:rPr>
              <w:rStyle w:val="Hyperlink"/>
              <w:sz w:val="12"/>
            </w:rPr>
            <w:br/>
          </w:r>
        </w:p>
        <w:p w14:paraId="29021542" w14:textId="77777777" w:rsidR="00F954CA" w:rsidRPr="003C2A46" w:rsidRDefault="00F954CA" w:rsidP="000573D3">
          <w:pPr>
            <w:ind w:left="720" w:right="927"/>
            <w:jc w:val="center"/>
          </w:pPr>
        </w:p>
      </w:tc>
      <w:tc>
        <w:tcPr>
          <w:tcW w:w="1912" w:type="dxa"/>
          <w:vMerge w:val="restart"/>
          <w:tcBorders>
            <w:top w:val="thinThickSmallGap" w:sz="12" w:space="0" w:color="auto"/>
            <w:bottom w:val="thickThinSmallGap" w:sz="12" w:space="0" w:color="auto"/>
          </w:tcBorders>
          <w:vAlign w:val="center"/>
        </w:tcPr>
        <w:p w14:paraId="4FF64617" w14:textId="77777777" w:rsidR="00F954CA" w:rsidRPr="000060F8" w:rsidRDefault="00F954CA" w:rsidP="005B6F66">
          <w:pPr>
            <w:rPr>
              <w:sz w:val="24"/>
              <w:szCs w:val="24"/>
            </w:rPr>
          </w:pPr>
          <w:r w:rsidRPr="000060F8">
            <w:rPr>
              <w:sz w:val="24"/>
              <w:szCs w:val="24"/>
            </w:rPr>
            <w:t>Journal of International Business, Economics and Entrepreneurship</w:t>
          </w:r>
        </w:p>
      </w:tc>
    </w:tr>
    <w:tr w:rsidR="00F954CA" w:rsidRPr="003C2A46" w14:paraId="4DC167AF" w14:textId="77777777" w:rsidTr="00AD124C">
      <w:trPr>
        <w:cantSplit/>
        <w:trHeight w:val="20"/>
      </w:trPr>
      <w:tc>
        <w:tcPr>
          <w:tcW w:w="1843" w:type="dxa"/>
          <w:vMerge/>
        </w:tcPr>
        <w:p w14:paraId="2E6FCC0E" w14:textId="77777777" w:rsidR="00F954CA" w:rsidRPr="003C2A46" w:rsidRDefault="00F954CA" w:rsidP="005B6F66"/>
      </w:tc>
      <w:tc>
        <w:tcPr>
          <w:tcW w:w="4536" w:type="dxa"/>
          <w:vAlign w:val="center"/>
        </w:tcPr>
        <w:p w14:paraId="11F3FAC6" w14:textId="77777777" w:rsidR="00F954CA" w:rsidRDefault="00F954CA" w:rsidP="000573D3">
          <w:pPr>
            <w:pStyle w:val="Els-reprint-line"/>
            <w:tabs>
              <w:tab w:val="clear" w:pos="0"/>
            </w:tabs>
            <w:spacing w:after="20"/>
            <w:rPr>
              <w:color w:val="FF0000"/>
              <w:sz w:val="14"/>
              <w:szCs w:val="14"/>
            </w:rPr>
          </w:pPr>
        </w:p>
        <w:p w14:paraId="57E82E8F" w14:textId="00BB1E76" w:rsidR="00F954CA" w:rsidRPr="002F6505" w:rsidRDefault="00184AC4" w:rsidP="00184AC4">
          <w:pPr>
            <w:pStyle w:val="Els-reprint-line"/>
            <w:tabs>
              <w:tab w:val="clear" w:pos="0"/>
            </w:tabs>
            <w:spacing w:after="20"/>
            <w:jc w:val="left"/>
            <w:rPr>
              <w:sz w:val="14"/>
              <w:szCs w:val="14"/>
            </w:rPr>
          </w:pPr>
          <w:r>
            <w:rPr>
              <w:sz w:val="14"/>
              <w:szCs w:val="14"/>
            </w:rPr>
            <w:t xml:space="preserve">                                                Vol.1</w:t>
          </w:r>
          <w:r w:rsidR="009954BD">
            <w:rPr>
              <w:sz w:val="14"/>
              <w:szCs w:val="14"/>
            </w:rPr>
            <w:t>1</w:t>
          </w:r>
          <w:r>
            <w:rPr>
              <w:sz w:val="14"/>
              <w:szCs w:val="14"/>
            </w:rPr>
            <w:t xml:space="preserve"> No.1 (</w:t>
          </w:r>
          <w:r w:rsidRPr="0057046B">
            <w:rPr>
              <w:sz w:val="14"/>
              <w:szCs w:val="14"/>
            </w:rPr>
            <w:t>202</w:t>
          </w:r>
          <w:r>
            <w:rPr>
              <w:sz w:val="14"/>
              <w:szCs w:val="14"/>
            </w:rPr>
            <w:t>6)</w:t>
          </w:r>
        </w:p>
      </w:tc>
      <w:tc>
        <w:tcPr>
          <w:tcW w:w="1912" w:type="dxa"/>
          <w:vMerge/>
          <w:tcBorders>
            <w:bottom w:val="thickThinSmallGap" w:sz="12" w:space="0" w:color="auto"/>
          </w:tcBorders>
        </w:tcPr>
        <w:p w14:paraId="014EF95F" w14:textId="77777777" w:rsidR="00F954CA" w:rsidRPr="003C2A46" w:rsidRDefault="00F954CA" w:rsidP="005B6F66"/>
      </w:tc>
    </w:tr>
  </w:tbl>
  <w:p w14:paraId="0FB38AEE" w14:textId="77777777" w:rsidR="00F954CA" w:rsidRPr="005B6F66" w:rsidRDefault="00F954CA" w:rsidP="005B6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6177"/>
    <w:multiLevelType w:val="multilevel"/>
    <w:tmpl w:val="D95C2E9E"/>
    <w:lvl w:ilvl="0">
      <w:start w:val="1"/>
      <w:numFmt w:val="bullet"/>
      <w:lvlText w:val="●"/>
      <w:lvlJc w:val="left"/>
      <w:pPr>
        <w:ind w:left="958" w:hanging="360"/>
      </w:pPr>
      <w:rPr>
        <w:rFonts w:ascii="Noto Sans Symbols" w:eastAsia="Noto Sans Symbols" w:hAnsi="Noto Sans Symbols" w:cs="Noto Sans Symbols"/>
      </w:rPr>
    </w:lvl>
    <w:lvl w:ilvl="1">
      <w:start w:val="1"/>
      <w:numFmt w:val="bullet"/>
      <w:lvlText w:val="o"/>
      <w:lvlJc w:val="left"/>
      <w:pPr>
        <w:ind w:left="1678" w:hanging="360"/>
      </w:pPr>
      <w:rPr>
        <w:rFonts w:ascii="Courier New" w:eastAsia="Courier New" w:hAnsi="Courier New" w:cs="Courier New"/>
      </w:rPr>
    </w:lvl>
    <w:lvl w:ilvl="2">
      <w:start w:val="1"/>
      <w:numFmt w:val="bullet"/>
      <w:lvlText w:val="▪"/>
      <w:lvlJc w:val="left"/>
      <w:pPr>
        <w:ind w:left="2398" w:hanging="360"/>
      </w:pPr>
      <w:rPr>
        <w:rFonts w:ascii="Noto Sans Symbols" w:eastAsia="Noto Sans Symbols" w:hAnsi="Noto Sans Symbols" w:cs="Noto Sans Symbols"/>
      </w:rPr>
    </w:lvl>
    <w:lvl w:ilvl="3">
      <w:start w:val="1"/>
      <w:numFmt w:val="bullet"/>
      <w:lvlText w:val="●"/>
      <w:lvlJc w:val="left"/>
      <w:pPr>
        <w:ind w:left="3118" w:hanging="360"/>
      </w:pPr>
      <w:rPr>
        <w:rFonts w:ascii="Noto Sans Symbols" w:eastAsia="Noto Sans Symbols" w:hAnsi="Noto Sans Symbols" w:cs="Noto Sans Symbols"/>
      </w:rPr>
    </w:lvl>
    <w:lvl w:ilvl="4">
      <w:start w:val="1"/>
      <w:numFmt w:val="bullet"/>
      <w:lvlText w:val="o"/>
      <w:lvlJc w:val="left"/>
      <w:pPr>
        <w:ind w:left="3838" w:hanging="360"/>
      </w:pPr>
      <w:rPr>
        <w:rFonts w:ascii="Courier New" w:eastAsia="Courier New" w:hAnsi="Courier New" w:cs="Courier New"/>
      </w:rPr>
    </w:lvl>
    <w:lvl w:ilvl="5">
      <w:start w:val="1"/>
      <w:numFmt w:val="bullet"/>
      <w:lvlText w:val="▪"/>
      <w:lvlJc w:val="left"/>
      <w:pPr>
        <w:ind w:left="4558" w:hanging="360"/>
      </w:pPr>
      <w:rPr>
        <w:rFonts w:ascii="Noto Sans Symbols" w:eastAsia="Noto Sans Symbols" w:hAnsi="Noto Sans Symbols" w:cs="Noto Sans Symbols"/>
      </w:rPr>
    </w:lvl>
    <w:lvl w:ilvl="6">
      <w:start w:val="1"/>
      <w:numFmt w:val="bullet"/>
      <w:lvlText w:val="●"/>
      <w:lvlJc w:val="left"/>
      <w:pPr>
        <w:ind w:left="5278" w:hanging="360"/>
      </w:pPr>
      <w:rPr>
        <w:rFonts w:ascii="Noto Sans Symbols" w:eastAsia="Noto Sans Symbols" w:hAnsi="Noto Sans Symbols" w:cs="Noto Sans Symbols"/>
      </w:rPr>
    </w:lvl>
    <w:lvl w:ilvl="7">
      <w:start w:val="1"/>
      <w:numFmt w:val="bullet"/>
      <w:lvlText w:val="o"/>
      <w:lvlJc w:val="left"/>
      <w:pPr>
        <w:ind w:left="5998" w:hanging="360"/>
      </w:pPr>
      <w:rPr>
        <w:rFonts w:ascii="Courier New" w:eastAsia="Courier New" w:hAnsi="Courier New" w:cs="Courier New"/>
      </w:rPr>
    </w:lvl>
    <w:lvl w:ilvl="8">
      <w:start w:val="1"/>
      <w:numFmt w:val="bullet"/>
      <w:lvlText w:val="▪"/>
      <w:lvlJc w:val="left"/>
      <w:pPr>
        <w:ind w:left="6718" w:hanging="360"/>
      </w:pPr>
      <w:rPr>
        <w:rFonts w:ascii="Noto Sans Symbols" w:eastAsia="Noto Sans Symbols" w:hAnsi="Noto Sans Symbols" w:cs="Noto Sans Symbols"/>
      </w:rPr>
    </w:lvl>
  </w:abstractNum>
  <w:abstractNum w:abstractNumId="1" w15:restartNumberingAfterBreak="0">
    <w:nsid w:val="056C3CC0"/>
    <w:multiLevelType w:val="multilevel"/>
    <w:tmpl w:val="7F1CC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6225B"/>
    <w:multiLevelType w:val="multilevel"/>
    <w:tmpl w:val="6E1221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F7A6D94"/>
    <w:multiLevelType w:val="multilevel"/>
    <w:tmpl w:val="1E4A4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F13606"/>
    <w:multiLevelType w:val="multilevel"/>
    <w:tmpl w:val="96CE0942"/>
    <w:lvl w:ilvl="0">
      <w:start w:val="1"/>
      <w:numFmt w:val="bullet"/>
      <w:lvlText w:val="●"/>
      <w:lvlJc w:val="left"/>
      <w:pPr>
        <w:ind w:left="240" w:hanging="240"/>
      </w:pPr>
      <w:rPr>
        <w:rFonts w:ascii="Noto Sans Symbols" w:eastAsia="Noto Sans Symbols" w:hAnsi="Noto Sans Symbols" w:cs="Noto Sans Symbols"/>
      </w:rPr>
    </w:lvl>
    <w:lvl w:ilvl="1">
      <w:start w:val="1"/>
      <w:numFmt w:val="bullet"/>
      <w:lvlText w:val="○"/>
      <w:lvlJc w:val="left"/>
      <w:pPr>
        <w:ind w:left="480" w:hanging="240"/>
      </w:pPr>
      <w:rPr>
        <w:rFonts w:ascii="Times New Roman" w:eastAsia="Times New Roman" w:hAnsi="Times New Roman" w:cs="Times New Roman"/>
        <w:sz w:val="28"/>
        <w:szCs w:val="28"/>
      </w:rPr>
    </w:lvl>
    <w:lvl w:ilvl="2">
      <w:start w:val="1"/>
      <w:numFmt w:val="bullet"/>
      <w:lvlText w:val="–"/>
      <w:lvlJc w:val="left"/>
      <w:pPr>
        <w:ind w:left="720" w:hanging="240"/>
      </w:pPr>
      <w:rPr>
        <w:rFonts w:ascii="Times New Roman" w:eastAsia="Times New Roman" w:hAnsi="Times New Roman" w:cs="Times New Roman"/>
      </w:rPr>
    </w:lvl>
    <w:lvl w:ilvl="3">
      <w:start w:val="1"/>
      <w:numFmt w:val="decimal"/>
      <w:lvlText w:val="-"/>
      <w:lvlJc w:val="left"/>
      <w:pPr>
        <w:ind w:left="960" w:hanging="240"/>
      </w:pPr>
      <w:rPr>
        <w:rFonts w:ascii="Times New Roman" w:eastAsia="Times New Roman" w:hAnsi="Times New Roman" w:cs="Times New Roman"/>
      </w:rPr>
    </w:lvl>
    <w:lvl w:ilvl="4">
      <w:start w:val="1"/>
      <w:numFmt w:val="decimal"/>
      <w:lvlText w:val="-"/>
      <w:lvlJc w:val="left"/>
      <w:pPr>
        <w:ind w:left="1200" w:hanging="240"/>
      </w:pPr>
      <w:rPr>
        <w:rFonts w:ascii="Times New Roman" w:eastAsia="Times New Roman" w:hAnsi="Times New Roman" w:cs="Times New Roman"/>
      </w:rPr>
    </w:lvl>
    <w:lvl w:ilvl="5">
      <w:start w:val="1"/>
      <w:numFmt w:val="decimal"/>
      <w:lvlText w:val="-"/>
      <w:lvlJc w:val="left"/>
      <w:pPr>
        <w:ind w:left="1440" w:hanging="240"/>
      </w:pPr>
      <w:rPr>
        <w:rFonts w:ascii="Times New Roman" w:eastAsia="Times New Roman" w:hAnsi="Times New Roman" w:cs="Times New Roman"/>
      </w:rPr>
    </w:lvl>
    <w:lvl w:ilvl="6">
      <w:start w:val="1"/>
      <w:numFmt w:val="decimal"/>
      <w:lvlText w:val="-"/>
      <w:lvlJc w:val="left"/>
      <w:pPr>
        <w:ind w:left="1680" w:hanging="240"/>
      </w:pPr>
      <w:rPr>
        <w:rFonts w:ascii="Times New Roman" w:eastAsia="Times New Roman" w:hAnsi="Times New Roman" w:cs="Times New Roman"/>
      </w:rPr>
    </w:lvl>
    <w:lvl w:ilvl="7">
      <w:start w:val="1"/>
      <w:numFmt w:val="decimal"/>
      <w:lvlText w:val="-"/>
      <w:lvlJc w:val="left"/>
      <w:pPr>
        <w:ind w:left="1920" w:hanging="240"/>
      </w:pPr>
      <w:rPr>
        <w:rFonts w:ascii="Times New Roman" w:eastAsia="Times New Roman" w:hAnsi="Times New Roman" w:cs="Times New Roman"/>
      </w:rPr>
    </w:lvl>
    <w:lvl w:ilvl="8">
      <w:start w:val="1"/>
      <w:numFmt w:val="decimal"/>
      <w:lvlText w:val="-"/>
      <w:lvlJc w:val="left"/>
      <w:pPr>
        <w:ind w:left="2160" w:hanging="240"/>
      </w:pPr>
      <w:rPr>
        <w:rFonts w:ascii="Times New Roman" w:eastAsia="Times New Roman" w:hAnsi="Times New Roman" w:cs="Times New Roman"/>
      </w:rPr>
    </w:lvl>
  </w:abstractNum>
  <w:abstractNum w:abstractNumId="5" w15:restartNumberingAfterBreak="0">
    <w:nsid w:val="36E94D26"/>
    <w:multiLevelType w:val="multilevel"/>
    <w:tmpl w:val="A72CCBFE"/>
    <w:lvl w:ilvl="0">
      <w:start w:val="1"/>
      <w:numFmt w:val="decimal"/>
      <w:lvlText w:val="%1."/>
      <w:lvlJc w:val="left"/>
      <w:pPr>
        <w:ind w:left="360" w:hanging="360"/>
      </w:pPr>
      <w:rPr>
        <w:b/>
        <w:bCs/>
      </w:rPr>
    </w:lvl>
    <w:lvl w:ilvl="1">
      <w:start w:val="1"/>
      <w:numFmt w:val="decimal"/>
      <w:lvlText w:val="%1.%2"/>
      <w:lvlJc w:val="left"/>
      <w:pPr>
        <w:ind w:left="357" w:hanging="357"/>
      </w:pPr>
    </w:lvl>
    <w:lvl w:ilvl="2">
      <w:start w:val="1"/>
      <w:numFmt w:val="decimal"/>
      <w:lvlText w:val="%1.%2.%3"/>
      <w:lvlJc w:val="left"/>
      <w:pPr>
        <w:ind w:left="567" w:hanging="567"/>
      </w:pPr>
      <w:rPr>
        <w: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9802125"/>
    <w:multiLevelType w:val="multilevel"/>
    <w:tmpl w:val="9B4E6954"/>
    <w:lvl w:ilvl="0">
      <w:start w:val="1"/>
      <w:numFmt w:val="decimal"/>
      <w:pStyle w:val="Els-1storder-head"/>
      <w:lvlText w:val="%1."/>
      <w:lvlJc w:val="left"/>
      <w:pPr>
        <w:tabs>
          <w:tab w:val="num" w:pos="720"/>
        </w:tabs>
        <w:ind w:left="720" w:hanging="720"/>
      </w:pPr>
    </w:lvl>
    <w:lvl w:ilvl="1">
      <w:start w:val="1"/>
      <w:numFmt w:val="decimal"/>
      <w:pStyle w:val="Els-2ndorder-head"/>
      <w:lvlText w:val="%2."/>
      <w:lvlJc w:val="left"/>
      <w:pPr>
        <w:tabs>
          <w:tab w:val="num" w:pos="1440"/>
        </w:tabs>
        <w:ind w:left="1440" w:hanging="720"/>
      </w:pPr>
    </w:lvl>
    <w:lvl w:ilvl="2">
      <w:start w:val="1"/>
      <w:numFmt w:val="decimal"/>
      <w:pStyle w:val="Els-3rdorder-head"/>
      <w:lvlText w:val="%3."/>
      <w:lvlJc w:val="left"/>
      <w:pPr>
        <w:tabs>
          <w:tab w:val="num" w:pos="2160"/>
        </w:tabs>
        <w:ind w:left="2160" w:hanging="720"/>
      </w:pPr>
    </w:lvl>
    <w:lvl w:ilvl="3">
      <w:start w:val="1"/>
      <w:numFmt w:val="decimal"/>
      <w:pStyle w:val="Els-4thorder-head"/>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F4C4CA1"/>
    <w:multiLevelType w:val="multilevel"/>
    <w:tmpl w:val="225E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1046CF"/>
    <w:multiLevelType w:val="multilevel"/>
    <w:tmpl w:val="904C3B12"/>
    <w:lvl w:ilvl="0">
      <w:start w:val="1"/>
      <w:numFmt w:val="upperLetter"/>
      <w:lvlText w:val="%1. "/>
      <w:lvlJc w:val="left"/>
      <w:pPr>
        <w:ind w:left="0" w:firstLine="0"/>
      </w:pPr>
      <w:rPr>
        <w:b w:val="0"/>
        <w:i/>
      </w:rPr>
    </w:lvl>
    <w:lvl w:ilvl="1">
      <w:start w:val="1"/>
      <w:numFmt w:val="decimal"/>
      <w:lvlText w:val="%1.%2. "/>
      <w:lvlJc w:val="left"/>
      <w:pPr>
        <w:ind w:left="0" w:firstLine="0"/>
      </w:pPr>
      <w:rPr>
        <w:rFonts w:ascii="Times New Roman" w:eastAsia="Times New Roman" w:hAnsi="Times New Roman" w:cs="Times New Roman"/>
        <w:b w:val="0"/>
        <w:i/>
        <w:sz w:val="20"/>
        <w:szCs w:val="20"/>
      </w:rPr>
    </w:lvl>
    <w:lvl w:ilvl="2">
      <w:start w:val="1"/>
      <w:numFmt w:val="decimal"/>
      <w:lvlText w:val=""/>
      <w:lvlJc w:val="left"/>
      <w:pPr>
        <w:ind w:left="0" w:firstLine="0"/>
      </w:pPr>
    </w:lvl>
    <w:lvl w:ilvl="3">
      <w:start w:val="1"/>
      <w:numFmt w:val="decimal"/>
      <w:lvlText w:val=""/>
      <w:lvlJc w:val="righ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9" w15:restartNumberingAfterBreak="0">
    <w:nsid w:val="680D7DD2"/>
    <w:multiLevelType w:val="multilevel"/>
    <w:tmpl w:val="5532C56A"/>
    <w:lvl w:ilvl="0">
      <w:start w:val="1"/>
      <w:numFmt w:val="decimal"/>
      <w:lvlText w:val="%1."/>
      <w:lvlJc w:val="left"/>
      <w:pPr>
        <w:ind w:left="360" w:hanging="360"/>
      </w:pPr>
    </w:lvl>
    <w:lvl w:ilvl="1">
      <w:start w:val="1"/>
      <w:numFmt w:val="decimal"/>
      <w:lvlText w:val="%1.%2"/>
      <w:lvlJc w:val="left"/>
      <w:pPr>
        <w:ind w:left="357" w:hanging="357"/>
      </w:pPr>
    </w:lvl>
    <w:lvl w:ilvl="2">
      <w:start w:val="1"/>
      <w:numFmt w:val="decimal"/>
      <w:lvlText w:val="%1.%2.%3"/>
      <w:lvlJc w:val="left"/>
      <w:pPr>
        <w:ind w:left="567" w:hanging="567"/>
      </w:pPr>
      <w:rPr>
        <w: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19005113">
    <w:abstractNumId w:val="0"/>
  </w:num>
  <w:num w:numId="2" w16cid:durableId="1008562063">
    <w:abstractNumId w:val="5"/>
  </w:num>
  <w:num w:numId="3" w16cid:durableId="1551652780">
    <w:abstractNumId w:val="9"/>
  </w:num>
  <w:num w:numId="4" w16cid:durableId="1192189443">
    <w:abstractNumId w:val="2"/>
  </w:num>
  <w:num w:numId="5" w16cid:durableId="1281260661">
    <w:abstractNumId w:val="8"/>
  </w:num>
  <w:num w:numId="6" w16cid:durableId="510873439">
    <w:abstractNumId w:val="4"/>
  </w:num>
  <w:num w:numId="7" w16cid:durableId="883953669">
    <w:abstractNumId w:val="6"/>
  </w:num>
  <w:num w:numId="8" w16cid:durableId="21359067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319205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45446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99723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123299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10465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98490737">
    <w:abstractNumId w:val="3"/>
  </w:num>
  <w:num w:numId="15" w16cid:durableId="1380664345">
    <w:abstractNumId w:val="7"/>
  </w:num>
  <w:num w:numId="16" w16cid:durableId="1746611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6FA"/>
    <w:rsid w:val="00005974"/>
    <w:rsid w:val="000117F7"/>
    <w:rsid w:val="0002343C"/>
    <w:rsid w:val="00032180"/>
    <w:rsid w:val="00033872"/>
    <w:rsid w:val="000411D8"/>
    <w:rsid w:val="000452A4"/>
    <w:rsid w:val="000512C0"/>
    <w:rsid w:val="000513BB"/>
    <w:rsid w:val="000573D3"/>
    <w:rsid w:val="000B3CDC"/>
    <w:rsid w:val="000B3E80"/>
    <w:rsid w:val="000D1279"/>
    <w:rsid w:val="000F72D7"/>
    <w:rsid w:val="0010005F"/>
    <w:rsid w:val="001247E5"/>
    <w:rsid w:val="00125E88"/>
    <w:rsid w:val="00155410"/>
    <w:rsid w:val="00184AC4"/>
    <w:rsid w:val="00186BBA"/>
    <w:rsid w:val="001A0999"/>
    <w:rsid w:val="001E5F2B"/>
    <w:rsid w:val="001F140F"/>
    <w:rsid w:val="001F3214"/>
    <w:rsid w:val="00211B08"/>
    <w:rsid w:val="00231AB5"/>
    <w:rsid w:val="002357CB"/>
    <w:rsid w:val="002472A9"/>
    <w:rsid w:val="0024773E"/>
    <w:rsid w:val="00254942"/>
    <w:rsid w:val="00294F44"/>
    <w:rsid w:val="002B2C0F"/>
    <w:rsid w:val="002B30EF"/>
    <w:rsid w:val="002C7CEF"/>
    <w:rsid w:val="00302CB0"/>
    <w:rsid w:val="00304CE2"/>
    <w:rsid w:val="003066AD"/>
    <w:rsid w:val="0030699E"/>
    <w:rsid w:val="0031430B"/>
    <w:rsid w:val="0033664C"/>
    <w:rsid w:val="00343097"/>
    <w:rsid w:val="0034382C"/>
    <w:rsid w:val="003467A7"/>
    <w:rsid w:val="00352309"/>
    <w:rsid w:val="00353EC4"/>
    <w:rsid w:val="0037762A"/>
    <w:rsid w:val="003831F8"/>
    <w:rsid w:val="00391672"/>
    <w:rsid w:val="003A0B0C"/>
    <w:rsid w:val="003A11F1"/>
    <w:rsid w:val="003C073E"/>
    <w:rsid w:val="003D31C9"/>
    <w:rsid w:val="003D4AFB"/>
    <w:rsid w:val="003F3CC9"/>
    <w:rsid w:val="003F631D"/>
    <w:rsid w:val="00407132"/>
    <w:rsid w:val="00410597"/>
    <w:rsid w:val="00410FC4"/>
    <w:rsid w:val="004120DD"/>
    <w:rsid w:val="00422756"/>
    <w:rsid w:val="00425E5A"/>
    <w:rsid w:val="00430F06"/>
    <w:rsid w:val="00433D99"/>
    <w:rsid w:val="004440AB"/>
    <w:rsid w:val="0044779C"/>
    <w:rsid w:val="00454F28"/>
    <w:rsid w:val="0047441D"/>
    <w:rsid w:val="004746FA"/>
    <w:rsid w:val="00484AD1"/>
    <w:rsid w:val="004B0BF5"/>
    <w:rsid w:val="004C322A"/>
    <w:rsid w:val="004C43F2"/>
    <w:rsid w:val="004C4AA8"/>
    <w:rsid w:val="004C63C5"/>
    <w:rsid w:val="004D114B"/>
    <w:rsid w:val="004D413A"/>
    <w:rsid w:val="005060DE"/>
    <w:rsid w:val="005064F8"/>
    <w:rsid w:val="00510734"/>
    <w:rsid w:val="00511ADA"/>
    <w:rsid w:val="00511BDA"/>
    <w:rsid w:val="00514F04"/>
    <w:rsid w:val="0051654F"/>
    <w:rsid w:val="0052317D"/>
    <w:rsid w:val="0052731F"/>
    <w:rsid w:val="00535CA8"/>
    <w:rsid w:val="005418A5"/>
    <w:rsid w:val="0056327F"/>
    <w:rsid w:val="00577E97"/>
    <w:rsid w:val="0058385C"/>
    <w:rsid w:val="00587043"/>
    <w:rsid w:val="005A3F74"/>
    <w:rsid w:val="005B159A"/>
    <w:rsid w:val="005B4A12"/>
    <w:rsid w:val="005B6F66"/>
    <w:rsid w:val="005C1D86"/>
    <w:rsid w:val="005D079B"/>
    <w:rsid w:val="00610A6D"/>
    <w:rsid w:val="00614F84"/>
    <w:rsid w:val="00617C0C"/>
    <w:rsid w:val="00630071"/>
    <w:rsid w:val="00630E35"/>
    <w:rsid w:val="00646D33"/>
    <w:rsid w:val="00651E94"/>
    <w:rsid w:val="00677D35"/>
    <w:rsid w:val="00680632"/>
    <w:rsid w:val="00692083"/>
    <w:rsid w:val="006C02E2"/>
    <w:rsid w:val="006C2BD1"/>
    <w:rsid w:val="006C4EE1"/>
    <w:rsid w:val="006E0D46"/>
    <w:rsid w:val="006E40B3"/>
    <w:rsid w:val="006F0C0C"/>
    <w:rsid w:val="006F21E0"/>
    <w:rsid w:val="00703701"/>
    <w:rsid w:val="00720EE2"/>
    <w:rsid w:val="0074311B"/>
    <w:rsid w:val="00743876"/>
    <w:rsid w:val="00745A95"/>
    <w:rsid w:val="007832A6"/>
    <w:rsid w:val="00795FC1"/>
    <w:rsid w:val="007A0C08"/>
    <w:rsid w:val="007A746E"/>
    <w:rsid w:val="007B6E9E"/>
    <w:rsid w:val="007C108D"/>
    <w:rsid w:val="007C3AC6"/>
    <w:rsid w:val="007D105A"/>
    <w:rsid w:val="007D3CF0"/>
    <w:rsid w:val="007E6985"/>
    <w:rsid w:val="007F060D"/>
    <w:rsid w:val="007F0EC2"/>
    <w:rsid w:val="0080532E"/>
    <w:rsid w:val="0081732B"/>
    <w:rsid w:val="0082158F"/>
    <w:rsid w:val="00822C44"/>
    <w:rsid w:val="00831275"/>
    <w:rsid w:val="00831CE6"/>
    <w:rsid w:val="008424BE"/>
    <w:rsid w:val="00845E6C"/>
    <w:rsid w:val="0085163C"/>
    <w:rsid w:val="00853151"/>
    <w:rsid w:val="008534BB"/>
    <w:rsid w:val="00853B46"/>
    <w:rsid w:val="00862A9A"/>
    <w:rsid w:val="00877AA5"/>
    <w:rsid w:val="008857C6"/>
    <w:rsid w:val="008904BE"/>
    <w:rsid w:val="008A4BA1"/>
    <w:rsid w:val="008A6B0D"/>
    <w:rsid w:val="008B299C"/>
    <w:rsid w:val="008C1E8C"/>
    <w:rsid w:val="008D271B"/>
    <w:rsid w:val="008D585E"/>
    <w:rsid w:val="008D6CC1"/>
    <w:rsid w:val="00901726"/>
    <w:rsid w:val="0091549E"/>
    <w:rsid w:val="00933759"/>
    <w:rsid w:val="00944197"/>
    <w:rsid w:val="00950E00"/>
    <w:rsid w:val="00951427"/>
    <w:rsid w:val="009847EC"/>
    <w:rsid w:val="00986C99"/>
    <w:rsid w:val="00991D7A"/>
    <w:rsid w:val="009954BD"/>
    <w:rsid w:val="009A02D3"/>
    <w:rsid w:val="009A1EAF"/>
    <w:rsid w:val="009B0781"/>
    <w:rsid w:val="009D0492"/>
    <w:rsid w:val="009E45A5"/>
    <w:rsid w:val="009F609B"/>
    <w:rsid w:val="00A0614A"/>
    <w:rsid w:val="00A2130C"/>
    <w:rsid w:val="00A37E3D"/>
    <w:rsid w:val="00A91FDE"/>
    <w:rsid w:val="00A94FEE"/>
    <w:rsid w:val="00AA62A1"/>
    <w:rsid w:val="00AD2F71"/>
    <w:rsid w:val="00AD7074"/>
    <w:rsid w:val="00AD7907"/>
    <w:rsid w:val="00AE1CCE"/>
    <w:rsid w:val="00AF1215"/>
    <w:rsid w:val="00B10B0B"/>
    <w:rsid w:val="00B13712"/>
    <w:rsid w:val="00B24C30"/>
    <w:rsid w:val="00B26437"/>
    <w:rsid w:val="00B27CBA"/>
    <w:rsid w:val="00B40502"/>
    <w:rsid w:val="00B43A7D"/>
    <w:rsid w:val="00B440B0"/>
    <w:rsid w:val="00B66C3D"/>
    <w:rsid w:val="00B83B7D"/>
    <w:rsid w:val="00B87B73"/>
    <w:rsid w:val="00B92883"/>
    <w:rsid w:val="00B964BA"/>
    <w:rsid w:val="00BB6F69"/>
    <w:rsid w:val="00BB7E71"/>
    <w:rsid w:val="00BF281E"/>
    <w:rsid w:val="00C216F7"/>
    <w:rsid w:val="00C401BF"/>
    <w:rsid w:val="00C4255B"/>
    <w:rsid w:val="00C46363"/>
    <w:rsid w:val="00C7213F"/>
    <w:rsid w:val="00C7500F"/>
    <w:rsid w:val="00CA50EF"/>
    <w:rsid w:val="00CB3EBF"/>
    <w:rsid w:val="00CB58D2"/>
    <w:rsid w:val="00CB5EA3"/>
    <w:rsid w:val="00CC6A02"/>
    <w:rsid w:val="00CC75C8"/>
    <w:rsid w:val="00CD2ACF"/>
    <w:rsid w:val="00CD39A8"/>
    <w:rsid w:val="00CE145A"/>
    <w:rsid w:val="00CE5497"/>
    <w:rsid w:val="00CE7B37"/>
    <w:rsid w:val="00CF5299"/>
    <w:rsid w:val="00CF67E3"/>
    <w:rsid w:val="00D14698"/>
    <w:rsid w:val="00D16F50"/>
    <w:rsid w:val="00D21BF2"/>
    <w:rsid w:val="00D233D6"/>
    <w:rsid w:val="00D338D8"/>
    <w:rsid w:val="00D40487"/>
    <w:rsid w:val="00D40D4E"/>
    <w:rsid w:val="00D51C20"/>
    <w:rsid w:val="00D52FDE"/>
    <w:rsid w:val="00D5687C"/>
    <w:rsid w:val="00D71120"/>
    <w:rsid w:val="00D76C4A"/>
    <w:rsid w:val="00DC035E"/>
    <w:rsid w:val="00DC430E"/>
    <w:rsid w:val="00DC4E4A"/>
    <w:rsid w:val="00DC5DEC"/>
    <w:rsid w:val="00DC6FC5"/>
    <w:rsid w:val="00DE318D"/>
    <w:rsid w:val="00DF3484"/>
    <w:rsid w:val="00DF694D"/>
    <w:rsid w:val="00E1527D"/>
    <w:rsid w:val="00E257B9"/>
    <w:rsid w:val="00E306F8"/>
    <w:rsid w:val="00E33CED"/>
    <w:rsid w:val="00E424A7"/>
    <w:rsid w:val="00E522BB"/>
    <w:rsid w:val="00E57B15"/>
    <w:rsid w:val="00E63245"/>
    <w:rsid w:val="00E6403B"/>
    <w:rsid w:val="00E65D5E"/>
    <w:rsid w:val="00E7111A"/>
    <w:rsid w:val="00E73939"/>
    <w:rsid w:val="00E74077"/>
    <w:rsid w:val="00E740EE"/>
    <w:rsid w:val="00E74BA7"/>
    <w:rsid w:val="00E77DC4"/>
    <w:rsid w:val="00E8279D"/>
    <w:rsid w:val="00EB4A5F"/>
    <w:rsid w:val="00EC4182"/>
    <w:rsid w:val="00ED3EFD"/>
    <w:rsid w:val="00ED7FBF"/>
    <w:rsid w:val="00EE09C0"/>
    <w:rsid w:val="00EF1A1A"/>
    <w:rsid w:val="00EF6F1D"/>
    <w:rsid w:val="00F01910"/>
    <w:rsid w:val="00F0441E"/>
    <w:rsid w:val="00F07BCD"/>
    <w:rsid w:val="00F100A0"/>
    <w:rsid w:val="00F2106E"/>
    <w:rsid w:val="00F22C0E"/>
    <w:rsid w:val="00F26501"/>
    <w:rsid w:val="00F34512"/>
    <w:rsid w:val="00F37103"/>
    <w:rsid w:val="00F566A0"/>
    <w:rsid w:val="00F63B26"/>
    <w:rsid w:val="00F72094"/>
    <w:rsid w:val="00F7453D"/>
    <w:rsid w:val="00F75E13"/>
    <w:rsid w:val="00F8383D"/>
    <w:rsid w:val="00F954CA"/>
    <w:rsid w:val="00F95F16"/>
    <w:rsid w:val="00F97D62"/>
    <w:rsid w:val="00FD1CD0"/>
    <w:rsid w:val="00FD2043"/>
    <w:rsid w:val="00FD7EDA"/>
    <w:rsid w:val="00FE2F2D"/>
    <w:rsid w:val="00FE7911"/>
    <w:rsid w:val="00FF28A5"/>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D1451"/>
  <w15:docId w15:val="{83FB07CC-36C8-4042-9771-8945DE77A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F21"/>
    <w:rPr>
      <w:lang w:val="en-GB" w:eastAsia="en-US"/>
    </w:rPr>
  </w:style>
  <w:style w:type="paragraph" w:styleId="Heading1">
    <w:name w:val="heading 1"/>
    <w:basedOn w:val="Normal"/>
    <w:next w:val="Normal"/>
    <w:link w:val="Heading1Char"/>
    <w:uiPriority w:val="9"/>
    <w:qFormat/>
    <w:rsid w:val="00D56ED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5130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rsid w:val="00A6573D"/>
    <w:pPr>
      <w:keepNext/>
      <w:pBdr>
        <w:top w:val="single" w:sz="4" w:space="1" w:color="auto"/>
        <w:left w:val="single" w:sz="4" w:space="4" w:color="auto"/>
        <w:bottom w:val="single" w:sz="4" w:space="1" w:color="auto"/>
        <w:right w:val="single" w:sz="4" w:space="4" w:color="auto"/>
      </w:pBdr>
      <w:outlineLvl w:val="2"/>
    </w:pPr>
    <w:rPr>
      <w:b/>
      <w:bCs/>
      <w:sz w:val="22"/>
      <w:szCs w:val="24"/>
    </w:rPr>
  </w:style>
  <w:style w:type="paragraph" w:styleId="Heading4">
    <w:name w:val="heading 4"/>
    <w:basedOn w:val="Normal"/>
    <w:next w:val="Normal"/>
    <w:uiPriority w:val="9"/>
    <w:semiHidden/>
    <w:unhideWhenUsed/>
    <w:qFormat/>
    <w:rsid w:val="009A5D45"/>
    <w:pPr>
      <w:keepNext/>
      <w:spacing w:before="240" w:after="60"/>
      <w:outlineLvl w:val="3"/>
    </w:pPr>
    <w:rPr>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Els-Title"/>
    <w:next w:val="Normal"/>
    <w:link w:val="TitleChar"/>
    <w:qFormat/>
    <w:rsid w:val="00667839"/>
  </w:style>
  <w:style w:type="paragraph" w:styleId="Caption">
    <w:name w:val="caption"/>
    <w:aliases w:val="Caption A,DO NOT USE OR MODIFY"/>
    <w:basedOn w:val="Els-caption"/>
    <w:next w:val="Normal"/>
    <w:link w:val="CaptionChar"/>
    <w:uiPriority w:val="10"/>
    <w:qFormat/>
    <w:rsid w:val="00B02751"/>
  </w:style>
  <w:style w:type="paragraph" w:customStyle="1" w:styleId="Els-1storder-head">
    <w:name w:val="Els-1storder-head"/>
    <w:next w:val="Els-body-text"/>
    <w:link w:val="Els-1storder-headChar"/>
    <w:rsid w:val="003D0E48"/>
    <w:pPr>
      <w:keepNext/>
      <w:numPr>
        <w:numId w:val="7"/>
      </w:numPr>
      <w:tabs>
        <w:tab w:val="clear" w:pos="720"/>
        <w:tab w:val="num" w:pos="360"/>
      </w:tabs>
      <w:suppressAutoHyphens/>
      <w:spacing w:before="240" w:after="240" w:line="240" w:lineRule="exact"/>
      <w:ind w:left="0" w:firstLine="0"/>
    </w:pPr>
    <w:rPr>
      <w:b/>
      <w:lang w:eastAsia="en-US"/>
    </w:rPr>
  </w:style>
  <w:style w:type="paragraph" w:customStyle="1" w:styleId="Els-2ndorder-head">
    <w:name w:val="Els-2ndorder-head"/>
    <w:next w:val="Els-body-text"/>
    <w:link w:val="Els-2ndorder-headChar"/>
    <w:rsid w:val="00DF7F21"/>
    <w:pPr>
      <w:keepNext/>
      <w:numPr>
        <w:ilvl w:val="1"/>
        <w:numId w:val="7"/>
      </w:numPr>
      <w:tabs>
        <w:tab w:val="num" w:pos="360"/>
      </w:tabs>
      <w:suppressAutoHyphens/>
      <w:spacing w:before="240" w:after="240" w:line="240" w:lineRule="exact"/>
      <w:ind w:left="0"/>
    </w:pPr>
    <w:rPr>
      <w:i/>
      <w:lang w:eastAsia="en-US"/>
    </w:rPr>
  </w:style>
  <w:style w:type="paragraph" w:customStyle="1" w:styleId="Els-3rdorder-head">
    <w:name w:val="Els-3rdorder-head"/>
    <w:next w:val="Els-body-text"/>
    <w:link w:val="Els-3rdorder-headChar"/>
    <w:rsid w:val="00DF7F21"/>
    <w:pPr>
      <w:keepNext/>
      <w:numPr>
        <w:ilvl w:val="2"/>
        <w:numId w:val="7"/>
      </w:numPr>
      <w:tabs>
        <w:tab w:val="num" w:pos="360"/>
      </w:tabs>
      <w:suppressAutoHyphens/>
      <w:spacing w:before="240" w:line="240" w:lineRule="exact"/>
    </w:pPr>
    <w:rPr>
      <w:i/>
      <w:lang w:eastAsia="en-US"/>
    </w:rPr>
  </w:style>
  <w:style w:type="paragraph" w:customStyle="1" w:styleId="Els-4thorder-head">
    <w:name w:val="Els-4thorder-head"/>
    <w:next w:val="Els-body-text"/>
    <w:rsid w:val="00DF7F21"/>
    <w:pPr>
      <w:keepNext/>
      <w:numPr>
        <w:ilvl w:val="3"/>
        <w:numId w:val="7"/>
      </w:numPr>
      <w:suppressAutoHyphens/>
      <w:spacing w:before="240" w:line="240" w:lineRule="exact"/>
    </w:pPr>
    <w:rPr>
      <w:i/>
      <w:lang w:eastAsia="en-US"/>
    </w:rPr>
  </w:style>
  <w:style w:type="paragraph" w:customStyle="1" w:styleId="Els-Abstract-head">
    <w:name w:val="Els-Abstract-head"/>
    <w:next w:val="Normal"/>
    <w:rsid w:val="00DF7F21"/>
    <w:pPr>
      <w:keepNext/>
      <w:pBdr>
        <w:top w:val="single" w:sz="4" w:space="10" w:color="auto"/>
      </w:pBdr>
      <w:suppressAutoHyphens/>
      <w:spacing w:after="220" w:line="220" w:lineRule="exact"/>
    </w:pPr>
    <w:rPr>
      <w:b/>
      <w:sz w:val="18"/>
      <w:lang w:eastAsia="en-US"/>
    </w:rPr>
  </w:style>
  <w:style w:type="paragraph" w:customStyle="1" w:styleId="Els-Abstract-text">
    <w:name w:val="Els-Abstract-text"/>
    <w:next w:val="Normal"/>
    <w:link w:val="Els-Abstract-textChar"/>
    <w:rsid w:val="00DF7F21"/>
    <w:pPr>
      <w:spacing w:line="220" w:lineRule="exact"/>
      <w:jc w:val="both"/>
    </w:pPr>
    <w:rPr>
      <w:sz w:val="18"/>
      <w:lang w:eastAsia="en-US"/>
    </w:rPr>
  </w:style>
  <w:style w:type="paragraph" w:customStyle="1" w:styleId="Els-acknowledgement">
    <w:name w:val="Els-acknowledgement"/>
    <w:next w:val="Normal"/>
    <w:rsid w:val="00DF7F21"/>
    <w:pPr>
      <w:keepNext/>
      <w:spacing w:before="480" w:after="240" w:line="220" w:lineRule="exact"/>
    </w:pPr>
    <w:rPr>
      <w:b/>
      <w:lang w:eastAsia="en-US"/>
    </w:rPr>
  </w:style>
  <w:style w:type="paragraph" w:customStyle="1" w:styleId="Els-aditional-article-history">
    <w:name w:val="Els-aditional-article-history"/>
    <w:basedOn w:val="Normal"/>
    <w:rsid w:val="00DF7F21"/>
    <w:pPr>
      <w:spacing w:after="400" w:line="200" w:lineRule="exact"/>
      <w:jc w:val="center"/>
    </w:pPr>
    <w:rPr>
      <w:b/>
      <w:noProof/>
      <w:sz w:val="16"/>
      <w:lang w:val="en-US"/>
    </w:rPr>
  </w:style>
  <w:style w:type="paragraph" w:customStyle="1" w:styleId="Els-Affiliation">
    <w:name w:val="Els-Affiliation"/>
    <w:next w:val="Els-Abstract-head"/>
    <w:link w:val="Els-AffiliationChar"/>
    <w:rsid w:val="00B2007D"/>
    <w:pPr>
      <w:suppressAutoHyphens/>
      <w:spacing w:line="200" w:lineRule="exact"/>
      <w:jc w:val="center"/>
    </w:pPr>
    <w:rPr>
      <w:i/>
      <w:noProof/>
      <w:sz w:val="16"/>
      <w:lang w:eastAsia="en-US"/>
    </w:rPr>
  </w:style>
  <w:style w:type="paragraph" w:customStyle="1" w:styleId="Els-appendixhead">
    <w:name w:val="Els-appendixhead"/>
    <w:next w:val="Normal"/>
    <w:rsid w:val="00DF7F21"/>
    <w:pPr>
      <w:tabs>
        <w:tab w:val="num" w:pos="720"/>
      </w:tabs>
      <w:spacing w:before="480" w:after="240" w:line="220" w:lineRule="exact"/>
      <w:ind w:left="720" w:hanging="720"/>
    </w:pPr>
    <w:rPr>
      <w:b/>
      <w:lang w:eastAsia="en-US"/>
    </w:rPr>
  </w:style>
  <w:style w:type="paragraph" w:customStyle="1" w:styleId="Els-appendixsubhead">
    <w:name w:val="Els-appendixsubhead"/>
    <w:next w:val="Normal"/>
    <w:link w:val="Els-appendixsubheadChar"/>
    <w:rsid w:val="00DF7F21"/>
    <w:pPr>
      <w:tabs>
        <w:tab w:val="num" w:pos="1440"/>
      </w:tabs>
      <w:spacing w:before="240" w:after="240" w:line="220" w:lineRule="exact"/>
      <w:ind w:left="1440" w:hanging="720"/>
    </w:pPr>
    <w:rPr>
      <w:i/>
      <w:lang w:eastAsia="en-US"/>
    </w:rPr>
  </w:style>
  <w:style w:type="paragraph" w:customStyle="1" w:styleId="Els-Author">
    <w:name w:val="Els-Author"/>
    <w:next w:val="Normal"/>
    <w:link w:val="Els-AuthorChar"/>
    <w:rsid w:val="00B2007D"/>
    <w:pPr>
      <w:keepNext/>
      <w:suppressAutoHyphens/>
      <w:spacing w:after="160" w:line="300" w:lineRule="exact"/>
      <w:jc w:val="center"/>
    </w:pPr>
    <w:rPr>
      <w:noProof/>
      <w:sz w:val="26"/>
      <w:lang w:eastAsia="en-US"/>
    </w:rPr>
  </w:style>
  <w:style w:type="paragraph" w:customStyle="1" w:styleId="Els-body-text">
    <w:name w:val="Els-body-text"/>
    <w:link w:val="Els-body-textChar"/>
    <w:rsid w:val="00960572"/>
    <w:pPr>
      <w:keepNext/>
      <w:spacing w:line="240" w:lineRule="exact"/>
      <w:ind w:firstLine="238"/>
      <w:jc w:val="both"/>
    </w:pPr>
    <w:rPr>
      <w:lang w:eastAsia="en-US"/>
    </w:rPr>
  </w:style>
  <w:style w:type="paragraph" w:customStyle="1" w:styleId="Els-bulletlist">
    <w:name w:val="Els-bulletlist"/>
    <w:basedOn w:val="Els-body-text"/>
    <w:rsid w:val="00DF7F21"/>
    <w:pPr>
      <w:tabs>
        <w:tab w:val="left" w:pos="240"/>
        <w:tab w:val="num" w:pos="720"/>
      </w:tabs>
      <w:ind w:left="720" w:hanging="720"/>
      <w:jc w:val="left"/>
    </w:pPr>
  </w:style>
  <w:style w:type="paragraph" w:customStyle="1" w:styleId="Els-caption">
    <w:name w:val="Els-caption"/>
    <w:link w:val="Els-captionChar"/>
    <w:rsid w:val="00DF7F21"/>
    <w:pPr>
      <w:keepLines/>
      <w:spacing w:before="200" w:after="240" w:line="200" w:lineRule="exact"/>
    </w:pPr>
    <w:rPr>
      <w:sz w:val="16"/>
      <w:lang w:eastAsia="en-US"/>
    </w:rPr>
  </w:style>
  <w:style w:type="paragraph" w:customStyle="1" w:styleId="Els-chem-equation">
    <w:name w:val="Els-chem-equation"/>
    <w:next w:val="Els-body-text"/>
    <w:rsid w:val="00DF7F21"/>
    <w:pPr>
      <w:tabs>
        <w:tab w:val="right" w:pos="4320"/>
        <w:tab w:val="right" w:pos="9120"/>
      </w:tabs>
      <w:spacing w:before="120" w:after="120" w:line="220" w:lineRule="exact"/>
    </w:pPr>
    <w:rPr>
      <w:noProof/>
      <w:sz w:val="18"/>
      <w:lang w:eastAsia="en-US"/>
    </w:rPr>
  </w:style>
  <w:style w:type="paragraph" w:customStyle="1" w:styleId="Els-collaboration">
    <w:name w:val="Els-collaboration"/>
    <w:basedOn w:val="Els-Author"/>
    <w:rsid w:val="00DF7F21"/>
    <w:pPr>
      <w:jc w:val="right"/>
    </w:pPr>
  </w:style>
  <w:style w:type="paragraph" w:customStyle="1" w:styleId="Els-collaboration-affiliation">
    <w:name w:val="Els-collaboration-affiliation"/>
    <w:basedOn w:val="Els-collaboration"/>
    <w:rsid w:val="00DF7F21"/>
  </w:style>
  <w:style w:type="paragraph" w:customStyle="1" w:styleId="Els-presented-by">
    <w:name w:val="Els-presented-by"/>
    <w:rsid w:val="00DF7F21"/>
    <w:pPr>
      <w:spacing w:after="200"/>
      <w:jc w:val="center"/>
    </w:pPr>
    <w:rPr>
      <w:b/>
      <w:sz w:val="16"/>
      <w:lang w:eastAsia="en-US"/>
    </w:rPr>
  </w:style>
  <w:style w:type="paragraph" w:customStyle="1" w:styleId="Els-dedicated-to">
    <w:name w:val="Els-dedicated-to"/>
    <w:basedOn w:val="Els-presented-by"/>
    <w:rsid w:val="00DF7F21"/>
    <w:rPr>
      <w:b w:val="0"/>
    </w:rPr>
  </w:style>
  <w:style w:type="paragraph" w:customStyle="1" w:styleId="Els-equation">
    <w:name w:val="Els-equation"/>
    <w:next w:val="Els-body-text"/>
    <w:rsid w:val="00DF7F21"/>
    <w:pPr>
      <w:tabs>
        <w:tab w:val="right" w:pos="4320"/>
        <w:tab w:val="right" w:pos="9120"/>
      </w:tabs>
      <w:spacing w:before="120" w:after="120" w:line="220" w:lineRule="exact"/>
      <w:ind w:left="480"/>
    </w:pPr>
    <w:rPr>
      <w:i/>
      <w:noProof/>
      <w:lang w:eastAsia="en-US"/>
    </w:rPr>
  </w:style>
  <w:style w:type="paragraph" w:customStyle="1" w:styleId="Els-footnote">
    <w:name w:val="Els-footnote"/>
    <w:link w:val="Els-footnoteChar"/>
    <w:rsid w:val="00DF7F21"/>
    <w:pPr>
      <w:keepLines/>
      <w:widowControl w:val="0"/>
      <w:spacing w:line="200" w:lineRule="exact"/>
      <w:ind w:firstLine="240"/>
      <w:jc w:val="both"/>
    </w:pPr>
    <w:rPr>
      <w:sz w:val="16"/>
      <w:lang w:eastAsia="en-US"/>
    </w:rPr>
  </w:style>
  <w:style w:type="paragraph" w:customStyle="1" w:styleId="Els-history">
    <w:name w:val="Els-history"/>
    <w:next w:val="Normal"/>
    <w:rsid w:val="00DF7F21"/>
    <w:pPr>
      <w:spacing w:before="120" w:after="400" w:line="200" w:lineRule="exact"/>
      <w:jc w:val="center"/>
    </w:pPr>
    <w:rPr>
      <w:noProof/>
      <w:sz w:val="16"/>
      <w:lang w:eastAsia="en-US"/>
    </w:rPr>
  </w:style>
  <w:style w:type="paragraph" w:customStyle="1" w:styleId="Els-journal-logo">
    <w:name w:val="Els-journal-logo"/>
    <w:rsid w:val="00DF7F21"/>
    <w:pPr>
      <w:pBdr>
        <w:top w:val="thinThickLargeGap" w:sz="12" w:space="0" w:color="auto"/>
        <w:bottom w:val="thickThinLargeGap" w:sz="12" w:space="0" w:color="auto"/>
      </w:pBdr>
    </w:pPr>
    <w:rPr>
      <w:rFonts w:ascii="Helvetica" w:hAnsi="Helvetica"/>
      <w:b/>
      <w:noProof/>
      <w:sz w:val="24"/>
      <w:lang w:eastAsia="en-US"/>
    </w:rPr>
  </w:style>
  <w:style w:type="paragraph" w:customStyle="1" w:styleId="Els-keywords">
    <w:name w:val="Els-keywords"/>
    <w:next w:val="Normal"/>
    <w:rsid w:val="00DF7F21"/>
    <w:pPr>
      <w:pBdr>
        <w:bottom w:val="single" w:sz="4" w:space="10" w:color="auto"/>
      </w:pBdr>
      <w:spacing w:after="200" w:line="200" w:lineRule="exact"/>
    </w:pPr>
    <w:rPr>
      <w:noProof/>
      <w:sz w:val="16"/>
      <w:lang w:eastAsia="en-US"/>
    </w:rPr>
  </w:style>
  <w:style w:type="paragraph" w:customStyle="1" w:styleId="Els-numlist">
    <w:name w:val="Els-numlist"/>
    <w:basedOn w:val="Els-body-text"/>
    <w:rsid w:val="00DF7F21"/>
    <w:pPr>
      <w:tabs>
        <w:tab w:val="left" w:pos="240"/>
        <w:tab w:val="num" w:pos="720"/>
      </w:tabs>
      <w:ind w:left="480" w:hanging="720"/>
      <w:jc w:val="left"/>
    </w:pPr>
  </w:style>
  <w:style w:type="paragraph" w:customStyle="1" w:styleId="Els-reference">
    <w:name w:val="Els-reference"/>
    <w:rsid w:val="00DF7F21"/>
    <w:pPr>
      <w:tabs>
        <w:tab w:val="left" w:pos="312"/>
      </w:tabs>
      <w:spacing w:line="200" w:lineRule="exact"/>
      <w:ind w:left="312" w:hanging="312"/>
    </w:pPr>
    <w:rPr>
      <w:noProof/>
      <w:sz w:val="16"/>
      <w:lang w:eastAsia="en-US"/>
    </w:rPr>
  </w:style>
  <w:style w:type="paragraph" w:customStyle="1" w:styleId="Els-reference-head">
    <w:name w:val="Els-reference-head"/>
    <w:next w:val="Els-reference"/>
    <w:rsid w:val="00DF7F21"/>
    <w:pPr>
      <w:keepNext/>
      <w:spacing w:before="480" w:after="200" w:line="220" w:lineRule="exact"/>
    </w:pPr>
    <w:rPr>
      <w:b/>
      <w:lang w:eastAsia="en-US"/>
    </w:rPr>
  </w:style>
  <w:style w:type="paragraph" w:customStyle="1" w:styleId="Els-reprint-line">
    <w:name w:val="Els-reprint-line"/>
    <w:basedOn w:val="Normal"/>
    <w:rsid w:val="001F1930"/>
    <w:pPr>
      <w:tabs>
        <w:tab w:val="left" w:pos="0"/>
        <w:tab w:val="center" w:pos="5443"/>
      </w:tabs>
      <w:jc w:val="center"/>
    </w:pPr>
    <w:rPr>
      <w:sz w:val="16"/>
    </w:rPr>
  </w:style>
  <w:style w:type="paragraph" w:customStyle="1" w:styleId="Els-table-text">
    <w:name w:val="Els-table-text"/>
    <w:rsid w:val="00DF7F21"/>
    <w:pPr>
      <w:keepNext/>
      <w:spacing w:after="80" w:line="200" w:lineRule="exact"/>
    </w:pPr>
    <w:rPr>
      <w:sz w:val="16"/>
      <w:lang w:eastAsia="en-US"/>
    </w:rPr>
  </w:style>
  <w:style w:type="paragraph" w:customStyle="1" w:styleId="Els-Title">
    <w:name w:val="Els-Title"/>
    <w:next w:val="Els-Author"/>
    <w:autoRedefine/>
    <w:rsid w:val="00E65D5E"/>
    <w:pPr>
      <w:suppressAutoHyphens/>
      <w:jc w:val="center"/>
    </w:pPr>
    <w:rPr>
      <w:sz w:val="34"/>
      <w:lang w:eastAsia="en-US"/>
    </w:rPr>
  </w:style>
  <w:style w:type="character" w:styleId="EndnoteReference">
    <w:name w:val="endnote reference"/>
    <w:semiHidden/>
    <w:rsid w:val="00DF7F21"/>
    <w:rPr>
      <w:vertAlign w:val="superscript"/>
    </w:rPr>
  </w:style>
  <w:style w:type="paragraph" w:styleId="Header">
    <w:name w:val="header"/>
    <w:link w:val="HeaderChar"/>
    <w:rsid w:val="009E1829"/>
    <w:pPr>
      <w:tabs>
        <w:tab w:val="center" w:pos="4706"/>
        <w:tab w:val="right" w:pos="9356"/>
      </w:tabs>
      <w:spacing w:after="240" w:line="200" w:lineRule="atLeast"/>
    </w:pPr>
    <w:rPr>
      <w:i/>
      <w:noProof/>
      <w:sz w:val="16"/>
      <w:lang w:eastAsia="en-US"/>
    </w:rPr>
  </w:style>
  <w:style w:type="paragraph" w:styleId="Footer">
    <w:name w:val="footer"/>
    <w:basedOn w:val="Header"/>
    <w:link w:val="FooterChar"/>
    <w:uiPriority w:val="99"/>
    <w:rsid w:val="00DF7F21"/>
    <w:pPr>
      <w:tabs>
        <w:tab w:val="right" w:pos="10080"/>
      </w:tabs>
    </w:pPr>
    <w:rPr>
      <w:i w:val="0"/>
    </w:rPr>
  </w:style>
  <w:style w:type="character" w:styleId="FootnoteReference">
    <w:name w:val="footnote reference"/>
    <w:semiHidden/>
    <w:rsid w:val="00DF7F21"/>
    <w:rPr>
      <w:vertAlign w:val="superscript"/>
    </w:rPr>
  </w:style>
  <w:style w:type="paragraph" w:styleId="FootnoteText">
    <w:name w:val="footnote text"/>
    <w:basedOn w:val="Normal"/>
    <w:semiHidden/>
    <w:rsid w:val="00DF7F21"/>
    <w:rPr>
      <w:rFonts w:ascii="Univers" w:hAnsi="Univers"/>
    </w:rPr>
  </w:style>
  <w:style w:type="character" w:styleId="Hyperlink">
    <w:name w:val="Hyperlink"/>
    <w:uiPriority w:val="99"/>
    <w:rsid w:val="00C6090C"/>
    <w:rPr>
      <w:color w:val="auto"/>
      <w:sz w:val="16"/>
      <w:u w:val="none"/>
    </w:rPr>
  </w:style>
  <w:style w:type="character" w:customStyle="1" w:styleId="MTEquationSection">
    <w:name w:val="MTEquationSection"/>
    <w:rsid w:val="00DF7F21"/>
    <w:rPr>
      <w:vanish/>
      <w:color w:val="FF0000"/>
    </w:rPr>
  </w:style>
  <w:style w:type="character" w:styleId="PageNumber">
    <w:name w:val="page number"/>
    <w:rsid w:val="00DF7F21"/>
    <w:rPr>
      <w:sz w:val="16"/>
    </w:rPr>
  </w:style>
  <w:style w:type="paragraph" w:styleId="PlainText">
    <w:name w:val="Plain Text"/>
    <w:basedOn w:val="Normal"/>
    <w:rsid w:val="00DF7F21"/>
    <w:rPr>
      <w:rFonts w:ascii="Courier New" w:hAnsi="Courier New" w:cs="Courier New"/>
      <w:lang w:val="en-US"/>
    </w:rPr>
  </w:style>
  <w:style w:type="paragraph" w:customStyle="1" w:styleId="Els-5thorder-head">
    <w:name w:val="Els-5thorder-head"/>
    <w:next w:val="Els-body-text"/>
    <w:rsid w:val="00DF7F21"/>
    <w:pPr>
      <w:keepNext/>
      <w:suppressAutoHyphens/>
      <w:spacing w:line="240" w:lineRule="exact"/>
    </w:pPr>
    <w:rPr>
      <w:i/>
      <w:lang w:eastAsia="en-US"/>
    </w:rPr>
  </w:style>
  <w:style w:type="paragraph" w:customStyle="1" w:styleId="Els-Abstract-Copyright">
    <w:name w:val="Els-Abstract-Copyright"/>
    <w:basedOn w:val="Els-Abstract-text"/>
    <w:rsid w:val="00DF7F21"/>
    <w:pPr>
      <w:spacing w:after="220"/>
    </w:pPr>
  </w:style>
  <w:style w:type="paragraph" w:customStyle="1" w:styleId="DocHead">
    <w:name w:val="DocHead"/>
    <w:rsid w:val="00A93C27"/>
    <w:pPr>
      <w:spacing w:after="240"/>
      <w:jc w:val="center"/>
    </w:pPr>
    <w:rPr>
      <w:sz w:val="24"/>
      <w:lang w:eastAsia="en-US"/>
    </w:rPr>
  </w:style>
  <w:style w:type="character" w:styleId="FollowedHyperlink">
    <w:name w:val="FollowedHyperlink"/>
    <w:rsid w:val="009C2BBA"/>
    <w:rPr>
      <w:color w:val="800080"/>
      <w:u w:val="single"/>
    </w:rPr>
  </w:style>
  <w:style w:type="character" w:customStyle="1" w:styleId="Els-1storder-headChar">
    <w:name w:val="Els-1storder-head Char"/>
    <w:link w:val="Els-1storder-head"/>
    <w:rsid w:val="004E13F0"/>
    <w:rPr>
      <w:b/>
      <w:lang w:val="en-US" w:eastAsia="en-US" w:bidi="ar-SA"/>
    </w:rPr>
  </w:style>
  <w:style w:type="table" w:styleId="TableGrid">
    <w:name w:val="Table Grid"/>
    <w:basedOn w:val="TableNormal"/>
    <w:uiPriority w:val="59"/>
    <w:rsid w:val="00AF1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30D57"/>
    <w:rPr>
      <w:rFonts w:ascii="Tahoma" w:hAnsi="Tahoma"/>
      <w:sz w:val="16"/>
      <w:szCs w:val="16"/>
      <w:lang w:val="x-none"/>
    </w:rPr>
  </w:style>
  <w:style w:type="character" w:customStyle="1" w:styleId="BalloonTextChar">
    <w:name w:val="Balloon Text Char"/>
    <w:link w:val="BalloonText"/>
    <w:rsid w:val="00B30D57"/>
    <w:rPr>
      <w:rFonts w:ascii="Tahoma" w:hAnsi="Tahoma" w:cs="Tahoma"/>
      <w:sz w:val="16"/>
      <w:szCs w:val="16"/>
      <w:lang w:eastAsia="en-US"/>
    </w:rPr>
  </w:style>
  <w:style w:type="character" w:customStyle="1" w:styleId="FooterChar">
    <w:name w:val="Footer Char"/>
    <w:link w:val="Footer"/>
    <w:uiPriority w:val="99"/>
    <w:rsid w:val="004B2D1C"/>
    <w:rPr>
      <w:noProof/>
      <w:sz w:val="16"/>
      <w:lang w:val="en-US" w:eastAsia="en-US"/>
    </w:rPr>
  </w:style>
  <w:style w:type="paragraph" w:customStyle="1" w:styleId="HeadingA">
    <w:name w:val="Heading A"/>
    <w:basedOn w:val="Heading1"/>
    <w:link w:val="HeadingAChar"/>
    <w:qFormat/>
    <w:rsid w:val="00F55999"/>
    <w:pPr>
      <w:keepNext w:val="0"/>
      <w:keepLines w:val="0"/>
      <w:tabs>
        <w:tab w:val="num" w:pos="720"/>
      </w:tabs>
      <w:spacing w:after="240" w:line="240" w:lineRule="exact"/>
      <w:ind w:left="426" w:hanging="426"/>
    </w:pPr>
    <w:rPr>
      <w:rFonts w:ascii="Times New Roman" w:hAnsi="Times New Roman"/>
      <w:b/>
      <w:color w:val="auto"/>
      <w:sz w:val="20"/>
    </w:rPr>
  </w:style>
  <w:style w:type="paragraph" w:customStyle="1" w:styleId="HeadingB">
    <w:name w:val="Heading B"/>
    <w:basedOn w:val="Heading2"/>
    <w:link w:val="HeadingBChar"/>
    <w:qFormat/>
    <w:rsid w:val="00F55999"/>
    <w:pPr>
      <w:tabs>
        <w:tab w:val="num" w:pos="1440"/>
      </w:tabs>
      <w:spacing w:before="240" w:after="240"/>
      <w:ind w:left="426" w:hanging="426"/>
    </w:pPr>
    <w:rPr>
      <w:rFonts w:ascii="Times New Roman" w:hAnsi="Times New Roman"/>
      <w:i/>
      <w:color w:val="auto"/>
      <w:sz w:val="20"/>
    </w:rPr>
  </w:style>
  <w:style w:type="character" w:customStyle="1" w:styleId="HeadingAChar">
    <w:name w:val="Heading A Char"/>
    <w:link w:val="HeadingA"/>
    <w:rsid w:val="00F55999"/>
    <w:rPr>
      <w:rFonts w:eastAsiaTheme="majorEastAsia" w:cstheme="majorBidi"/>
      <w:b/>
      <w:szCs w:val="32"/>
      <w:lang w:val="en-GB" w:eastAsia="en-US"/>
    </w:rPr>
  </w:style>
  <w:style w:type="paragraph" w:customStyle="1" w:styleId="CaptionB">
    <w:name w:val="Caption B"/>
    <w:basedOn w:val="Els-caption"/>
    <w:link w:val="CaptionBChar"/>
    <w:qFormat/>
    <w:rsid w:val="00B02751"/>
    <w:rPr>
      <w:sz w:val="18"/>
      <w:szCs w:val="18"/>
    </w:rPr>
  </w:style>
  <w:style w:type="character" w:customStyle="1" w:styleId="Els-2ndorder-headChar">
    <w:name w:val="Els-2ndorder-head Char"/>
    <w:link w:val="Els-2ndorder-head"/>
    <w:rsid w:val="00B02751"/>
    <w:rPr>
      <w:i/>
      <w:lang w:val="en-US" w:eastAsia="en-US"/>
    </w:rPr>
  </w:style>
  <w:style w:type="character" w:customStyle="1" w:styleId="HeadingBChar">
    <w:name w:val="Heading B Char"/>
    <w:basedOn w:val="Els-2ndorder-headChar"/>
    <w:link w:val="HeadingB"/>
    <w:rsid w:val="00F55999"/>
    <w:rPr>
      <w:rFonts w:eastAsiaTheme="majorEastAsia" w:cstheme="majorBidi"/>
      <w:i/>
      <w:szCs w:val="26"/>
      <w:lang w:val="en-GB" w:eastAsia="en-US"/>
    </w:rPr>
  </w:style>
  <w:style w:type="paragraph" w:customStyle="1" w:styleId="MainText">
    <w:name w:val="Main Text"/>
    <w:basedOn w:val="Els-body-text"/>
    <w:link w:val="MainTextChar"/>
    <w:qFormat/>
    <w:rsid w:val="00C228EC"/>
    <w:pPr>
      <w:keepNext w:val="0"/>
      <w:spacing w:line="240" w:lineRule="auto"/>
    </w:pPr>
  </w:style>
  <w:style w:type="character" w:customStyle="1" w:styleId="Els-captionChar">
    <w:name w:val="Els-caption Char"/>
    <w:link w:val="Els-caption"/>
    <w:rsid w:val="00B02751"/>
    <w:rPr>
      <w:sz w:val="16"/>
      <w:lang w:val="en-US" w:eastAsia="en-US"/>
    </w:rPr>
  </w:style>
  <w:style w:type="character" w:customStyle="1" w:styleId="CaptionBChar">
    <w:name w:val="Caption B Char"/>
    <w:link w:val="CaptionB"/>
    <w:rsid w:val="00B02751"/>
    <w:rPr>
      <w:sz w:val="18"/>
      <w:szCs w:val="18"/>
      <w:lang w:val="en-US" w:eastAsia="en-US"/>
    </w:rPr>
  </w:style>
  <w:style w:type="character" w:customStyle="1" w:styleId="Mention1">
    <w:name w:val="Mention1"/>
    <w:uiPriority w:val="99"/>
    <w:semiHidden/>
    <w:unhideWhenUsed/>
    <w:rsid w:val="00C4045C"/>
    <w:rPr>
      <w:color w:val="2B579A"/>
      <w:shd w:val="clear" w:color="auto" w:fill="E6E6E6"/>
    </w:rPr>
  </w:style>
  <w:style w:type="character" w:customStyle="1" w:styleId="Els-body-textChar">
    <w:name w:val="Els-body-text Char"/>
    <w:link w:val="Els-body-text"/>
    <w:rsid w:val="00B02751"/>
    <w:rPr>
      <w:lang w:val="en-US" w:eastAsia="en-US"/>
    </w:rPr>
  </w:style>
  <w:style w:type="character" w:customStyle="1" w:styleId="MainTextChar">
    <w:name w:val="Main Text Char"/>
    <w:basedOn w:val="Els-body-textChar"/>
    <w:link w:val="MainText"/>
    <w:rsid w:val="00C228EC"/>
    <w:rPr>
      <w:lang w:val="en-US" w:eastAsia="en-US"/>
    </w:rPr>
  </w:style>
  <w:style w:type="character" w:customStyle="1" w:styleId="TitleChar">
    <w:name w:val="Title Char"/>
    <w:link w:val="Title"/>
    <w:rsid w:val="00667839"/>
    <w:rPr>
      <w:sz w:val="34"/>
      <w:lang w:val="en-US" w:eastAsia="en-US"/>
    </w:rPr>
  </w:style>
  <w:style w:type="paragraph" w:customStyle="1" w:styleId="Abstract">
    <w:name w:val="Abstract"/>
    <w:basedOn w:val="Els-Abstract-text"/>
    <w:link w:val="AbstractChar"/>
    <w:qFormat/>
    <w:rsid w:val="00306FEA"/>
  </w:style>
  <w:style w:type="paragraph" w:customStyle="1" w:styleId="HeadingC">
    <w:name w:val="Heading C"/>
    <w:basedOn w:val="Heading3"/>
    <w:link w:val="HeadingCChar"/>
    <w:qFormat/>
    <w:rsid w:val="00E92BE0"/>
    <w:pPr>
      <w:pBdr>
        <w:top w:val="none" w:sz="0" w:space="0" w:color="auto"/>
        <w:left w:val="none" w:sz="0" w:space="0" w:color="auto"/>
        <w:bottom w:val="none" w:sz="0" w:space="0" w:color="auto"/>
        <w:right w:val="none" w:sz="0" w:space="0" w:color="auto"/>
      </w:pBdr>
      <w:tabs>
        <w:tab w:val="num" w:pos="2160"/>
      </w:tabs>
      <w:spacing w:before="240" w:after="240" w:line="240" w:lineRule="exact"/>
      <w:ind w:left="2160" w:hanging="720"/>
    </w:pPr>
    <w:rPr>
      <w:b w:val="0"/>
      <w:bCs w:val="0"/>
      <w:i/>
      <w:sz w:val="20"/>
    </w:rPr>
  </w:style>
  <w:style w:type="character" w:customStyle="1" w:styleId="Els-Abstract-textChar">
    <w:name w:val="Els-Abstract-text Char"/>
    <w:basedOn w:val="DefaultParagraphFont"/>
    <w:link w:val="Els-Abstract-text"/>
    <w:rsid w:val="00306FEA"/>
    <w:rPr>
      <w:sz w:val="18"/>
      <w:lang w:val="en-US" w:eastAsia="en-US"/>
    </w:rPr>
  </w:style>
  <w:style w:type="character" w:customStyle="1" w:styleId="AbstractChar">
    <w:name w:val="Abstract Char"/>
    <w:basedOn w:val="Els-Abstract-textChar"/>
    <w:link w:val="Abstract"/>
    <w:rsid w:val="00306FEA"/>
    <w:rPr>
      <w:sz w:val="18"/>
      <w:lang w:val="en-US" w:eastAsia="en-US"/>
    </w:rPr>
  </w:style>
  <w:style w:type="paragraph" w:customStyle="1" w:styleId="zAppendixHeading2">
    <w:name w:val="zAppendix Heading 2"/>
    <w:basedOn w:val="Els-appendixsubhead"/>
    <w:link w:val="zAppendixHeading2Char"/>
    <w:qFormat/>
    <w:rsid w:val="00306FEA"/>
  </w:style>
  <w:style w:type="character" w:customStyle="1" w:styleId="Els-3rdorder-headChar">
    <w:name w:val="Els-3rdorder-head Char"/>
    <w:basedOn w:val="DefaultParagraphFont"/>
    <w:link w:val="Els-3rdorder-head"/>
    <w:rsid w:val="00306FEA"/>
    <w:rPr>
      <w:i/>
      <w:lang w:val="en-US" w:eastAsia="en-US"/>
    </w:rPr>
  </w:style>
  <w:style w:type="character" w:customStyle="1" w:styleId="HeadingCChar">
    <w:name w:val="Heading C Char"/>
    <w:basedOn w:val="Els-3rdorder-headChar"/>
    <w:link w:val="HeadingC"/>
    <w:rsid w:val="00E92BE0"/>
    <w:rPr>
      <w:i/>
      <w:szCs w:val="24"/>
      <w:lang w:val="en-GB" w:eastAsia="en-US"/>
    </w:rPr>
  </w:style>
  <w:style w:type="paragraph" w:customStyle="1" w:styleId="zAppendixHeading1">
    <w:name w:val="zAppendix Heading 1"/>
    <w:basedOn w:val="zAppendixHeading2"/>
    <w:link w:val="zAppendixHeading1Char"/>
    <w:qFormat/>
    <w:rsid w:val="00306FEA"/>
    <w:pPr>
      <w:spacing w:before="0"/>
      <w:ind w:left="284" w:hanging="284"/>
    </w:pPr>
  </w:style>
  <w:style w:type="character" w:customStyle="1" w:styleId="Els-appendixsubheadChar">
    <w:name w:val="Els-appendixsubhead Char"/>
    <w:basedOn w:val="DefaultParagraphFont"/>
    <w:link w:val="Els-appendixsubhead"/>
    <w:rsid w:val="00306FEA"/>
    <w:rPr>
      <w:i/>
      <w:lang w:eastAsia="en-US"/>
    </w:rPr>
  </w:style>
  <w:style w:type="character" w:customStyle="1" w:styleId="zAppendixHeading2Char">
    <w:name w:val="zAppendix Heading 2 Char"/>
    <w:basedOn w:val="Els-appendixsubheadChar"/>
    <w:link w:val="zAppendixHeading2"/>
    <w:rsid w:val="00306FEA"/>
    <w:rPr>
      <w:i/>
      <w:lang w:val="en-US" w:eastAsia="en-US"/>
    </w:rPr>
  </w:style>
  <w:style w:type="character" w:customStyle="1" w:styleId="zAppendixHeading1Char">
    <w:name w:val="zAppendix Heading 1 Char"/>
    <w:basedOn w:val="zAppendixHeading2Char"/>
    <w:link w:val="zAppendixHeading1"/>
    <w:rsid w:val="00306FEA"/>
    <w:rPr>
      <w:i/>
      <w:lang w:val="en-US" w:eastAsia="en-US"/>
    </w:rPr>
  </w:style>
  <w:style w:type="paragraph" w:customStyle="1" w:styleId="Reference">
    <w:name w:val="Reference"/>
    <w:basedOn w:val="Normal"/>
    <w:link w:val="ReferenceChar"/>
    <w:qFormat/>
    <w:rsid w:val="001224F7"/>
    <w:pPr>
      <w:widowControl w:val="0"/>
      <w:autoSpaceDE w:val="0"/>
      <w:autoSpaceDN w:val="0"/>
      <w:adjustRightInd w:val="0"/>
      <w:spacing w:after="180" w:line="220" w:lineRule="exact"/>
      <w:ind w:left="357" w:hanging="357"/>
    </w:pPr>
    <w:rPr>
      <w:lang w:val="en-US"/>
    </w:rPr>
  </w:style>
  <w:style w:type="paragraph" w:styleId="ListParagraph">
    <w:name w:val="List Paragraph"/>
    <w:basedOn w:val="Normal"/>
    <w:uiPriority w:val="34"/>
    <w:rsid w:val="00827DC5"/>
    <w:pPr>
      <w:ind w:left="720"/>
      <w:contextualSpacing/>
    </w:pPr>
  </w:style>
  <w:style w:type="character" w:customStyle="1" w:styleId="ReferenceChar">
    <w:name w:val="Reference Char"/>
    <w:basedOn w:val="DefaultParagraphFont"/>
    <w:link w:val="Reference"/>
    <w:rsid w:val="001224F7"/>
    <w:rPr>
      <w:lang w:val="en-US" w:eastAsia="en-US"/>
    </w:rPr>
  </w:style>
  <w:style w:type="paragraph" w:customStyle="1" w:styleId="Footnote">
    <w:name w:val="Footnote"/>
    <w:basedOn w:val="Els-footnote"/>
    <w:link w:val="FootnoteChar"/>
    <w:qFormat/>
    <w:rsid w:val="004A5E09"/>
  </w:style>
  <w:style w:type="character" w:customStyle="1" w:styleId="Heading1Char">
    <w:name w:val="Heading 1 Char"/>
    <w:basedOn w:val="DefaultParagraphFont"/>
    <w:link w:val="Heading1"/>
    <w:rsid w:val="00D56ED6"/>
    <w:rPr>
      <w:rFonts w:asciiTheme="majorHAnsi" w:eastAsiaTheme="majorEastAsia" w:hAnsiTheme="majorHAnsi" w:cstheme="majorBidi"/>
      <w:color w:val="2F5496" w:themeColor="accent1" w:themeShade="BF"/>
      <w:sz w:val="32"/>
      <w:szCs w:val="32"/>
      <w:lang w:val="en-GB" w:eastAsia="en-US"/>
    </w:rPr>
  </w:style>
  <w:style w:type="character" w:customStyle="1" w:styleId="Heading2Char">
    <w:name w:val="Heading 2 Char"/>
    <w:basedOn w:val="DefaultParagraphFont"/>
    <w:link w:val="Heading2"/>
    <w:semiHidden/>
    <w:rsid w:val="0025130A"/>
    <w:rPr>
      <w:rFonts w:asciiTheme="majorHAnsi" w:eastAsiaTheme="majorEastAsia" w:hAnsiTheme="majorHAnsi" w:cstheme="majorBidi"/>
      <w:color w:val="2F5496" w:themeColor="accent1" w:themeShade="BF"/>
      <w:sz w:val="26"/>
      <w:szCs w:val="26"/>
      <w:lang w:val="en-GB" w:eastAsia="en-US"/>
    </w:rPr>
  </w:style>
  <w:style w:type="paragraph" w:customStyle="1" w:styleId="Author">
    <w:name w:val="Author"/>
    <w:basedOn w:val="Els-Author"/>
    <w:link w:val="AuthorChar"/>
    <w:qFormat/>
    <w:rsid w:val="004A5E09"/>
  </w:style>
  <w:style w:type="character" w:customStyle="1" w:styleId="Els-footnoteChar">
    <w:name w:val="Els-footnote Char"/>
    <w:basedOn w:val="DefaultParagraphFont"/>
    <w:link w:val="Els-footnote"/>
    <w:rsid w:val="004A5E09"/>
    <w:rPr>
      <w:sz w:val="16"/>
      <w:lang w:val="en-US" w:eastAsia="en-US"/>
    </w:rPr>
  </w:style>
  <w:style w:type="character" w:customStyle="1" w:styleId="FootnoteChar">
    <w:name w:val="Footnote Char"/>
    <w:basedOn w:val="Els-footnoteChar"/>
    <w:link w:val="Footnote"/>
    <w:rsid w:val="004A5E09"/>
    <w:rPr>
      <w:sz w:val="16"/>
      <w:lang w:val="en-US" w:eastAsia="en-US"/>
    </w:rPr>
  </w:style>
  <w:style w:type="paragraph" w:customStyle="1" w:styleId="Non-numberedHeadings">
    <w:name w:val="Non-numbered Headings"/>
    <w:basedOn w:val="Normal"/>
    <w:link w:val="Non-numberedHeadingsChar"/>
    <w:qFormat/>
    <w:rsid w:val="008535FE"/>
    <w:pPr>
      <w:spacing w:before="240" w:after="240" w:line="240" w:lineRule="exact"/>
    </w:pPr>
    <w:rPr>
      <w:b/>
    </w:rPr>
  </w:style>
  <w:style w:type="character" w:customStyle="1" w:styleId="Els-AuthorChar">
    <w:name w:val="Els-Author Char"/>
    <w:basedOn w:val="DefaultParagraphFont"/>
    <w:link w:val="Els-Author"/>
    <w:rsid w:val="004A5E09"/>
    <w:rPr>
      <w:noProof/>
      <w:sz w:val="26"/>
      <w:lang w:val="en-US" w:eastAsia="en-US"/>
    </w:rPr>
  </w:style>
  <w:style w:type="character" w:customStyle="1" w:styleId="AuthorChar">
    <w:name w:val="Author Char"/>
    <w:basedOn w:val="Els-AuthorChar"/>
    <w:link w:val="Author"/>
    <w:rsid w:val="004A5E09"/>
    <w:rPr>
      <w:noProof/>
      <w:sz w:val="26"/>
      <w:lang w:val="en-US" w:eastAsia="en-US"/>
    </w:rPr>
  </w:style>
  <w:style w:type="character" w:customStyle="1" w:styleId="Non-numberedHeadingsChar">
    <w:name w:val="Non-numbered Headings Char"/>
    <w:basedOn w:val="DefaultParagraphFont"/>
    <w:link w:val="Non-numberedHeadings"/>
    <w:rsid w:val="008535FE"/>
    <w:rPr>
      <w:b/>
      <w:lang w:val="en-GB" w:eastAsia="en-US"/>
    </w:rPr>
  </w:style>
  <w:style w:type="paragraph" w:customStyle="1" w:styleId="Affiliation">
    <w:name w:val="Affiliation"/>
    <w:basedOn w:val="Els-Affiliation"/>
    <w:link w:val="AffiliationChar"/>
    <w:qFormat/>
    <w:rsid w:val="009E6493"/>
  </w:style>
  <w:style w:type="character" w:customStyle="1" w:styleId="Els-AffiliationChar">
    <w:name w:val="Els-Affiliation Char"/>
    <w:basedOn w:val="DefaultParagraphFont"/>
    <w:link w:val="Els-Affiliation"/>
    <w:rsid w:val="009E6493"/>
    <w:rPr>
      <w:i/>
      <w:noProof/>
      <w:sz w:val="16"/>
      <w:lang w:val="en-US" w:eastAsia="en-US"/>
    </w:rPr>
  </w:style>
  <w:style w:type="character" w:customStyle="1" w:styleId="AffiliationChar">
    <w:name w:val="Affiliation Char"/>
    <w:basedOn w:val="Els-AffiliationChar"/>
    <w:link w:val="Affiliation"/>
    <w:rsid w:val="009E6493"/>
    <w:rPr>
      <w:i/>
      <w:noProof/>
      <w:sz w:val="16"/>
      <w:lang w:val="en-US" w:eastAsia="en-US"/>
    </w:rPr>
  </w:style>
  <w:style w:type="character" w:styleId="LineNumber">
    <w:name w:val="line number"/>
    <w:basedOn w:val="DefaultParagraphFont"/>
    <w:rsid w:val="00374625"/>
  </w:style>
  <w:style w:type="paragraph" w:styleId="NormalWeb">
    <w:name w:val="Normal (Web)"/>
    <w:basedOn w:val="Normal"/>
    <w:uiPriority w:val="99"/>
    <w:rsid w:val="00374625"/>
    <w:pPr>
      <w:spacing w:before="100" w:beforeAutospacing="1" w:after="100" w:afterAutospacing="1"/>
    </w:pPr>
    <w:rPr>
      <w:sz w:val="24"/>
      <w:szCs w:val="24"/>
      <w:lang w:val="en-US"/>
    </w:rPr>
  </w:style>
  <w:style w:type="character" w:customStyle="1" w:styleId="UnresolvedMention1">
    <w:name w:val="Unresolved Mention1"/>
    <w:basedOn w:val="DefaultParagraphFont"/>
    <w:uiPriority w:val="99"/>
    <w:semiHidden/>
    <w:unhideWhenUsed/>
    <w:rsid w:val="00FC2C72"/>
    <w:rPr>
      <w:color w:val="605E5C"/>
      <w:shd w:val="clear" w:color="auto" w:fill="E1DFDD"/>
    </w:rPr>
  </w:style>
  <w:style w:type="paragraph" w:customStyle="1" w:styleId="MDPI71References">
    <w:name w:val="MDPI_7.1_References"/>
    <w:basedOn w:val="Normal"/>
    <w:qFormat/>
    <w:rsid w:val="000B6C63"/>
    <w:pPr>
      <w:tabs>
        <w:tab w:val="num" w:pos="720"/>
      </w:tabs>
      <w:adjustRightInd w:val="0"/>
      <w:snapToGrid w:val="0"/>
      <w:spacing w:line="260" w:lineRule="atLeast"/>
      <w:ind w:left="425" w:hanging="425"/>
      <w:jc w:val="both"/>
    </w:pPr>
    <w:rPr>
      <w:rFonts w:ascii="Palatino Linotype" w:hAnsi="Palatino Linotype"/>
      <w:color w:val="000000"/>
      <w:sz w:val="18"/>
      <w:lang w:val="en-US" w:eastAsia="de-DE" w:bidi="en-US"/>
    </w:rPr>
  </w:style>
  <w:style w:type="character" w:customStyle="1" w:styleId="HeaderChar">
    <w:name w:val="Header Char"/>
    <w:basedOn w:val="DefaultParagraphFont"/>
    <w:link w:val="Header"/>
    <w:rsid w:val="006E1FD2"/>
    <w:rPr>
      <w:i/>
      <w:noProof/>
      <w:sz w:val="16"/>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0" w:type="dxa"/>
        <w:right w:w="0" w:type="dxa"/>
      </w:tblCellMar>
    </w:tblPr>
  </w:style>
  <w:style w:type="table" w:styleId="PlainTable3">
    <w:name w:val="Plain Table 3"/>
    <w:basedOn w:val="TableNormal"/>
    <w:uiPriority w:val="43"/>
    <w:rsid w:val="00F22C0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F22C0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F22C0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aptionChar">
    <w:name w:val="Caption Char"/>
    <w:aliases w:val="Caption A Char,DO NOT USE OR MODIFY Char"/>
    <w:basedOn w:val="DefaultParagraphFont"/>
    <w:link w:val="Caption"/>
    <w:uiPriority w:val="10"/>
    <w:rsid w:val="00853151"/>
    <w:rPr>
      <w:sz w:val="16"/>
      <w:lang w:eastAsia="en-US"/>
    </w:rPr>
  </w:style>
  <w:style w:type="character" w:styleId="UnresolvedMention">
    <w:name w:val="Unresolved Mention"/>
    <w:basedOn w:val="DefaultParagraphFont"/>
    <w:uiPriority w:val="99"/>
    <w:semiHidden/>
    <w:unhideWhenUsed/>
    <w:rsid w:val="0052731F"/>
    <w:rPr>
      <w:color w:val="605E5C"/>
      <w:shd w:val="clear" w:color="auto" w:fill="E1DFDD"/>
    </w:rPr>
  </w:style>
  <w:style w:type="paragraph" w:styleId="Revision">
    <w:name w:val="Revision"/>
    <w:hidden/>
    <w:uiPriority w:val="99"/>
    <w:semiHidden/>
    <w:rsid w:val="00D5687C"/>
    <w:rPr>
      <w:lang w:val="en-GB" w:eastAsia="en-US"/>
    </w:rPr>
  </w:style>
  <w:style w:type="character" w:styleId="CommentReference">
    <w:name w:val="annotation reference"/>
    <w:basedOn w:val="DefaultParagraphFont"/>
    <w:uiPriority w:val="99"/>
    <w:semiHidden/>
    <w:unhideWhenUsed/>
    <w:rsid w:val="00D5687C"/>
    <w:rPr>
      <w:sz w:val="16"/>
      <w:szCs w:val="16"/>
    </w:rPr>
  </w:style>
  <w:style w:type="paragraph" w:styleId="CommentText">
    <w:name w:val="annotation text"/>
    <w:basedOn w:val="Normal"/>
    <w:link w:val="CommentTextChar"/>
    <w:uiPriority w:val="99"/>
    <w:unhideWhenUsed/>
    <w:rsid w:val="00D5687C"/>
  </w:style>
  <w:style w:type="character" w:customStyle="1" w:styleId="CommentTextChar">
    <w:name w:val="Comment Text Char"/>
    <w:basedOn w:val="DefaultParagraphFont"/>
    <w:link w:val="CommentText"/>
    <w:uiPriority w:val="99"/>
    <w:rsid w:val="00D5687C"/>
    <w:rPr>
      <w:lang w:val="en-GB" w:eastAsia="en-US"/>
    </w:rPr>
  </w:style>
  <w:style w:type="paragraph" w:styleId="CommentSubject">
    <w:name w:val="annotation subject"/>
    <w:basedOn w:val="CommentText"/>
    <w:next w:val="CommentText"/>
    <w:link w:val="CommentSubjectChar"/>
    <w:uiPriority w:val="99"/>
    <w:semiHidden/>
    <w:unhideWhenUsed/>
    <w:rsid w:val="00D5687C"/>
    <w:rPr>
      <w:b/>
      <w:bCs/>
    </w:rPr>
  </w:style>
  <w:style w:type="character" w:customStyle="1" w:styleId="CommentSubjectChar">
    <w:name w:val="Comment Subject Char"/>
    <w:basedOn w:val="CommentTextChar"/>
    <w:link w:val="CommentSubject"/>
    <w:uiPriority w:val="99"/>
    <w:semiHidden/>
    <w:rsid w:val="00D5687C"/>
    <w:rPr>
      <w:b/>
      <w:bCs/>
      <w:lang w:val="en-GB" w:eastAsia="en-US"/>
    </w:rPr>
  </w:style>
  <w:style w:type="paragraph" w:customStyle="1" w:styleId="ListParagraph1">
    <w:name w:val="List Paragraph1"/>
    <w:basedOn w:val="Normal"/>
    <w:qFormat/>
    <w:rsid w:val="00B13712"/>
    <w:pPr>
      <w:widowControl w:val="0"/>
      <w:ind w:left="720"/>
      <w:contextualSpacing/>
      <w:jc w:val="both"/>
    </w:pPr>
    <w:rPr>
      <w:rFonts w:eastAsia="SimSun"/>
      <w:kern w:val="2"/>
      <w:sz w:val="21"/>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748664">
      <w:bodyDiv w:val="1"/>
      <w:marLeft w:val="0"/>
      <w:marRight w:val="0"/>
      <w:marTop w:val="0"/>
      <w:marBottom w:val="0"/>
      <w:divBdr>
        <w:top w:val="none" w:sz="0" w:space="0" w:color="auto"/>
        <w:left w:val="none" w:sz="0" w:space="0" w:color="auto"/>
        <w:bottom w:val="none" w:sz="0" w:space="0" w:color="auto"/>
        <w:right w:val="none" w:sz="0" w:space="0" w:color="auto"/>
      </w:divBdr>
    </w:div>
    <w:div w:id="1039548393">
      <w:bodyDiv w:val="1"/>
      <w:marLeft w:val="0"/>
      <w:marRight w:val="0"/>
      <w:marTop w:val="0"/>
      <w:marBottom w:val="0"/>
      <w:divBdr>
        <w:top w:val="none" w:sz="0" w:space="0" w:color="auto"/>
        <w:left w:val="none" w:sz="0" w:space="0" w:color="auto"/>
        <w:bottom w:val="none" w:sz="0" w:space="0" w:color="auto"/>
        <w:right w:val="none" w:sz="0" w:space="0" w:color="auto"/>
      </w:divBdr>
    </w:div>
    <w:div w:id="1483426538">
      <w:bodyDiv w:val="1"/>
      <w:marLeft w:val="0"/>
      <w:marRight w:val="0"/>
      <w:marTop w:val="0"/>
      <w:marBottom w:val="0"/>
      <w:divBdr>
        <w:top w:val="none" w:sz="0" w:space="0" w:color="auto"/>
        <w:left w:val="none" w:sz="0" w:space="0" w:color="auto"/>
        <w:bottom w:val="none" w:sz="0" w:space="0" w:color="auto"/>
        <w:right w:val="none" w:sz="0" w:space="0" w:color="auto"/>
      </w:divBdr>
    </w:div>
    <w:div w:id="1719041633">
      <w:bodyDiv w:val="1"/>
      <w:marLeft w:val="0"/>
      <w:marRight w:val="0"/>
      <w:marTop w:val="0"/>
      <w:marBottom w:val="0"/>
      <w:divBdr>
        <w:top w:val="none" w:sz="0" w:space="0" w:color="auto"/>
        <w:left w:val="none" w:sz="0" w:space="0" w:color="auto"/>
        <w:bottom w:val="none" w:sz="0" w:space="0" w:color="auto"/>
        <w:right w:val="none" w:sz="0" w:space="0" w:color="auto"/>
      </w:divBdr>
    </w:div>
    <w:div w:id="1867057294">
      <w:bodyDiv w:val="1"/>
      <w:marLeft w:val="0"/>
      <w:marRight w:val="0"/>
      <w:marTop w:val="0"/>
      <w:marBottom w:val="0"/>
      <w:divBdr>
        <w:top w:val="none" w:sz="0" w:space="0" w:color="auto"/>
        <w:left w:val="none" w:sz="0" w:space="0" w:color="auto"/>
        <w:bottom w:val="none" w:sz="0" w:space="0" w:color="auto"/>
        <w:right w:val="none" w:sz="0" w:space="0" w:color="auto"/>
      </w:divBdr>
    </w:div>
    <w:div w:id="21060015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doi.org/10.3390/su13063148" TargetMode="External"/><Relationship Id="rId21" Type="http://schemas.openxmlformats.org/officeDocument/2006/relationships/hyperlink" Target="https://doi.org/10.1108/SRJ-04-2018-0102" TargetMode="External"/><Relationship Id="rId34" Type="http://schemas.openxmlformats.org/officeDocument/2006/relationships/hyperlink" Target="https://doi.org/10.1007/s10551-016-3099-5" TargetMode="External"/><Relationship Id="rId42" Type="http://schemas.openxmlformats.org/officeDocument/2006/relationships/hyperlink" Target="https://doi.org/10.58262/ks.v12i1.222" TargetMode="External"/><Relationship Id="rId47" Type="http://schemas.openxmlformats.org/officeDocument/2006/relationships/hyperlink" Target="http://www.iratde.com/" TargetMode="External"/><Relationship Id="rId50" Type="http://schemas.openxmlformats.org/officeDocument/2006/relationships/hyperlink" Target="https://doi.org/10.1108/02686901011054881" TargetMode="External"/><Relationship Id="rId55" Type="http://schemas.openxmlformats.org/officeDocument/2006/relationships/hyperlink" Target="https://doi.org/10.1080/23311975.2021.1938349" TargetMode="External"/><Relationship Id="rId63"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doi.org/10.3390/su10082954" TargetMode="External"/><Relationship Id="rId29" Type="http://schemas.openxmlformats.org/officeDocument/2006/relationships/hyperlink" Target="https://doi.org/10.5296/ijafr.v9i2.14665" TargetMode="External"/><Relationship Id="rId11" Type="http://schemas.openxmlformats.org/officeDocument/2006/relationships/hyperlink" Target="https://doi.org/10.1016/j.jclepro.2020.124284" TargetMode="External"/><Relationship Id="rId24" Type="http://schemas.openxmlformats.org/officeDocument/2006/relationships/hyperlink" Target="https://doi.org/10.1002/ijfe.1615" TargetMode="External"/><Relationship Id="rId32" Type="http://schemas.openxmlformats.org/officeDocument/2006/relationships/hyperlink" Target="https://doi.org/10.1177/1536867X0700700301" TargetMode="External"/><Relationship Id="rId37" Type="http://schemas.openxmlformats.org/officeDocument/2006/relationships/hyperlink" Target="https://doi.org/10.1108/17471111111175128" TargetMode="External"/><Relationship Id="rId40" Type="http://schemas.openxmlformats.org/officeDocument/2006/relationships/hyperlink" Target="https://doi.org/10.31124/advance.22722154.v1" TargetMode="External"/><Relationship Id="rId45" Type="http://schemas.openxmlformats.org/officeDocument/2006/relationships/hyperlink" Target="https://doi.org/10.1007/s10645-008-9089-y" TargetMode="External"/><Relationship Id="rId53" Type="http://schemas.openxmlformats.org/officeDocument/2006/relationships/hyperlink" Target="https://doi.org/10.1177/1086026618756611" TargetMode="External"/><Relationship Id="rId58" Type="http://schemas.openxmlformats.org/officeDocument/2006/relationships/hyperlink" Target="https://doi.org/10.1108/JRF-06-2014-0085" TargetMode="External"/><Relationship Id="rId66"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eader" Target="header2.xml"/><Relationship Id="rId19" Type="http://schemas.openxmlformats.org/officeDocument/2006/relationships/hyperlink" Target="https://doi.org/10.1186/s41180-017-0016-5" TargetMode="External"/><Relationship Id="rId14" Type="http://schemas.openxmlformats.org/officeDocument/2006/relationships/hyperlink" Target="https://doi.org/10.1093/wbro/lkn008" TargetMode="External"/><Relationship Id="rId22" Type="http://schemas.openxmlformats.org/officeDocument/2006/relationships/hyperlink" Target="https://doi.org/10.1016/S0742-3322(00)17011-1" TargetMode="External"/><Relationship Id="rId27" Type="http://schemas.openxmlformats.org/officeDocument/2006/relationships/hyperlink" Target="https://doi.org/10.3390/su11195451" TargetMode="External"/><Relationship Id="rId30" Type="http://schemas.openxmlformats.org/officeDocument/2006/relationships/hyperlink" Target="https://doi.org/10.1111/1467-6281.00112" TargetMode="External"/><Relationship Id="rId35" Type="http://schemas.openxmlformats.org/officeDocument/2006/relationships/hyperlink" Target="https://doi.org/10.1108/IJAIM-07-2021-0137" TargetMode="External"/><Relationship Id="rId43" Type="http://schemas.openxmlformats.org/officeDocument/2006/relationships/hyperlink" Target="https://doi.org/10.1016/j.bar.2017.09.007" TargetMode="External"/><Relationship Id="rId48" Type="http://schemas.openxmlformats.org/officeDocument/2006/relationships/hyperlink" Target="https://doi.org/10.1080/23311975.2021.1912526" TargetMode="External"/><Relationship Id="rId56" Type="http://schemas.openxmlformats.org/officeDocument/2006/relationships/hyperlink" Target="https://doi.org/10.1016/j.bir.2016.06.001" TargetMode="External"/><Relationship Id="rId64"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hyperlink" Target="https://doi.org/10.1108/MEDAR-03-2019-0462" TargetMode="External"/><Relationship Id="rId3" Type="http://schemas.openxmlformats.org/officeDocument/2006/relationships/numbering" Target="numbering.xml"/><Relationship Id="rId12" Type="http://schemas.openxmlformats.org/officeDocument/2006/relationships/hyperlink" Target="https://doi.org/10.1002/bse.672" TargetMode="External"/><Relationship Id="rId17" Type="http://schemas.openxmlformats.org/officeDocument/2006/relationships/hyperlink" Target="https://doi.org/10.3389/fcosc.2020.615419" TargetMode="External"/><Relationship Id="rId25" Type="http://schemas.openxmlformats.org/officeDocument/2006/relationships/hyperlink" Target="https://doi.org/10.1002/smj.2307" TargetMode="External"/><Relationship Id="rId33" Type="http://schemas.openxmlformats.org/officeDocument/2006/relationships/hyperlink" Target="https://doi.org/10.1016/j.marpol.2019.103519" TargetMode="External"/><Relationship Id="rId38" Type="http://schemas.openxmlformats.org/officeDocument/2006/relationships/hyperlink" Target="https://doi.org/10.1108/SRJ-08-2020-0310" TargetMode="External"/><Relationship Id="rId46" Type="http://schemas.openxmlformats.org/officeDocument/2006/relationships/hyperlink" Target="https://doi.org/10.1108/JAEE-07-2023-0212" TargetMode="External"/><Relationship Id="rId59" Type="http://schemas.openxmlformats.org/officeDocument/2006/relationships/image" Target="media/image1.jpg"/><Relationship Id="rId67" Type="http://schemas.openxmlformats.org/officeDocument/2006/relationships/theme" Target="theme/theme1.xml"/><Relationship Id="rId20" Type="http://schemas.openxmlformats.org/officeDocument/2006/relationships/hyperlink" Target="https://doi.org/10.1177/2158244017712027" TargetMode="External"/><Relationship Id="rId41" Type="http://schemas.openxmlformats.org/officeDocument/2006/relationships/hyperlink" Target="https://doi.org/10.26668/businessreview/2023.v8i7.2648" TargetMode="External"/><Relationship Id="rId54" Type="http://schemas.openxmlformats.org/officeDocument/2006/relationships/hyperlink" Target="https://doi.org/10.5772/intechopen.76951"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oi.org/10.1016/B978-0-08-097086-8.91014-6" TargetMode="External"/><Relationship Id="rId23" Type="http://schemas.openxmlformats.org/officeDocument/2006/relationships/hyperlink" Target="https://doi.org/10.22164/isea.v8i4.93" TargetMode="External"/><Relationship Id="rId28" Type="http://schemas.openxmlformats.org/officeDocument/2006/relationships/hyperlink" Target="https://doi.org/10.1016/j.jclepro.2013.07.005" TargetMode="External"/><Relationship Id="rId36" Type="http://schemas.openxmlformats.org/officeDocument/2006/relationships/hyperlink" Target="https://doi.org/10.32890/gbmr2021.13.1.2" TargetMode="External"/><Relationship Id="rId49" Type="http://schemas.openxmlformats.org/officeDocument/2006/relationships/hyperlink" Target="https://doi.org/10.1016/j.rcsar.2016.02.001" TargetMode="External"/><Relationship Id="rId57" Type="http://schemas.openxmlformats.org/officeDocument/2006/relationships/hyperlink" Target="https://doi.org/10.1049/enc2.12017" TargetMode="External"/><Relationship Id="rId10" Type="http://schemas.openxmlformats.org/officeDocument/2006/relationships/hyperlink" Target="https://doi.org/10.3390/su15043799" TargetMode="External"/><Relationship Id="rId31" Type="http://schemas.openxmlformats.org/officeDocument/2006/relationships/hyperlink" Target="https://doi.org/10.1016/j.jaccpubpol.2005.06.001" TargetMode="External"/><Relationship Id="rId44" Type="http://schemas.openxmlformats.org/officeDocument/2006/relationships/hyperlink" Target="https://doi.org/10.3389/fpsyg.2020.579272" TargetMode="External"/><Relationship Id="rId52" Type="http://schemas.openxmlformats.org/officeDocument/2006/relationships/hyperlink" Target="https://doi.org/10.1016/S0304-3878(02)00008-1" TargetMode="External"/><Relationship Id="rId60" Type="http://schemas.openxmlformats.org/officeDocument/2006/relationships/header" Target="header1.xml"/><Relationship Id="rId65"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orcid.org/0000-0002-8499-2849" TargetMode="External"/><Relationship Id="rId13" Type="http://schemas.openxmlformats.org/officeDocument/2006/relationships/hyperlink" Target="https://doi.org/10.1093/wber/lhn018" TargetMode="External"/><Relationship Id="rId18" Type="http://schemas.openxmlformats.org/officeDocument/2006/relationships/hyperlink" Target="https://www.britannica.com/topic/environmental-policy" TargetMode="External"/><Relationship Id="rId39" Type="http://schemas.openxmlformats.org/officeDocument/2006/relationships/hyperlink" Target="https://www.pwc.co.uk/annualreport/assets/2020/uk-transparency-report-2020.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2" Type="http://schemas.openxmlformats.org/officeDocument/2006/relationships/hyperlink" Target="https://journal.uitm.edu.my/ojs/index.php/jibe"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YUTKfneXWp53q6haMbhhOcdJhg==">CgMxLjAyCWlkLmdqZGd4czIJaC4zMGowemxsOAByITFHajBmT0E4dFV0YmIzSURfWDRSR3hMVElybVl4aUZFXw==</go:docsCustomData>
</go:gDocsCustomXmlDataStorage>
</file>

<file path=customXml/itemProps1.xml><?xml version="1.0" encoding="utf-8"?>
<ds:datastoreItem xmlns:ds="http://schemas.openxmlformats.org/officeDocument/2006/customXml" ds:itemID="{66FA9FA7-B48F-4DA8-AAA3-2105B4A000E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4294847836</TotalTime>
  <Pages>18</Pages>
  <Words>27002</Words>
  <Characters>153918</Characters>
  <Application>Microsoft Office Word</Application>
  <DocSecurity>0</DocSecurity>
  <Lines>1282</Lines>
  <Paragraphs>361</Paragraphs>
  <ScaleCrop>false</ScaleCrop>
  <HeadingPairs>
    <vt:vector size="2" baseType="variant">
      <vt:variant>
        <vt:lpstr>Title</vt:lpstr>
      </vt:variant>
      <vt:variant>
        <vt:i4>1</vt:i4>
      </vt:variant>
    </vt:vector>
  </HeadingPairs>
  <TitlesOfParts>
    <vt:vector size="1" baseType="lpstr">
      <vt:lpstr>JIBE</vt:lpstr>
    </vt:vector>
  </TitlesOfParts>
  <Company/>
  <LinksUpToDate>false</LinksUpToDate>
  <CharactersWithSpaces>180559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JIBE</dc:title>
  <dc:creator>User</dc:creator>
  <cp:keywords>JIBE</cp:keywords>
  <cp:lastModifiedBy>khalid Abas</cp:lastModifiedBy>
  <cp:revision>18</cp:revision>
  <cp:lastPrinted>2025-05-28T09:46:00Z</cp:lastPrinted>
  <dcterms:created xsi:type="dcterms:W3CDTF">2026-05-16T07:31:00Z</dcterms:created>
  <dcterms:modified xsi:type="dcterms:W3CDTF">2026-05-28T11:16:00Z</dcterms:modified>
</cp:coreProperties>
</file>