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F0E2" w14:textId="77777777" w:rsidR="009A1179" w:rsidRDefault="009A1179" w:rsidP="00904BD9">
      <w:pPr>
        <w:pStyle w:val="papertitle"/>
      </w:pPr>
    </w:p>
    <w:p w14:paraId="17F1C53E" w14:textId="43F58FB0" w:rsidR="00CC2E71" w:rsidRPr="00CC2E71" w:rsidRDefault="001D6E22" w:rsidP="00904BD9">
      <w:pPr>
        <w:pStyle w:val="papertitle"/>
        <w:rPr>
          <w:sz w:val="24"/>
          <w:szCs w:val="24"/>
        </w:rPr>
      </w:pPr>
      <w:r w:rsidRPr="001D6E22">
        <w:t>Langkawi Residents’ Dining Preferences: A Behavio</w:t>
      </w:r>
      <w:r w:rsidR="00FB1E08">
        <w:t>u</w:t>
      </w:r>
      <w:r w:rsidRPr="001D6E22">
        <w:t>ral Study of Local Restaurant Patronage</w:t>
      </w:r>
    </w:p>
    <w:p w14:paraId="3128991E" w14:textId="77777777" w:rsidR="008C581F" w:rsidRPr="008C581F" w:rsidRDefault="008C581F" w:rsidP="00EA7D28">
      <w:pPr>
        <w:jc w:val="center"/>
        <w:rPr>
          <w:b/>
          <w:color w:val="000000"/>
          <w:lang w:val="en-CA" w:eastAsia="en-MY"/>
        </w:rPr>
      </w:pPr>
    </w:p>
    <w:p w14:paraId="70283DFD" w14:textId="77777777" w:rsidR="00E634E3" w:rsidRDefault="004B7192" w:rsidP="00EA7D28">
      <w:pPr>
        <w:pStyle w:val="AuthorName"/>
      </w:pPr>
      <w:bookmarkStart w:id="0" w:name="_Hlk184801434"/>
      <w:proofErr w:type="spellStart"/>
      <w:r w:rsidRPr="004B7192">
        <w:t>Nur’Alia</w:t>
      </w:r>
      <w:proofErr w:type="spellEnd"/>
      <w:r w:rsidRPr="004B7192">
        <w:t xml:space="preserve"> Natasya</w:t>
      </w:r>
      <w:r>
        <w:t xml:space="preserve"> </w:t>
      </w:r>
      <w:r w:rsidRPr="004B7192">
        <w:t>Mohd Khasmi</w:t>
      </w:r>
      <w:r w:rsidR="00CC2E71" w:rsidRPr="008C581F">
        <w:rPr>
          <w:vertAlign w:val="superscript"/>
        </w:rPr>
        <w:t>1</w:t>
      </w:r>
      <w:r w:rsidR="00CC2E71" w:rsidRPr="008C581F">
        <w:t xml:space="preserve">, </w:t>
      </w:r>
      <w:proofErr w:type="spellStart"/>
      <w:r>
        <w:t>Joesri</w:t>
      </w:r>
      <w:proofErr w:type="spellEnd"/>
      <w:r>
        <w:t xml:space="preserve"> Mohamad Saber</w:t>
      </w:r>
      <w:r w:rsidR="00CC2E71" w:rsidRPr="008C581F">
        <w:rPr>
          <w:vertAlign w:val="superscript"/>
        </w:rPr>
        <w:t>2</w:t>
      </w:r>
      <w:r w:rsidRPr="008C581F">
        <w:rPr>
          <w:vertAlign w:val="superscript"/>
        </w:rPr>
        <w:t>*</w:t>
      </w:r>
      <w:r w:rsidR="00CC2E71" w:rsidRPr="008C581F">
        <w:t xml:space="preserve">, </w:t>
      </w:r>
      <w:r w:rsidRPr="004B7192">
        <w:t xml:space="preserve">Nur </w:t>
      </w:r>
      <w:proofErr w:type="spellStart"/>
      <w:r w:rsidRPr="004B7192">
        <w:t>Shafida</w:t>
      </w:r>
      <w:proofErr w:type="spellEnd"/>
      <w:r w:rsidRPr="004B7192">
        <w:t xml:space="preserve"> Sharullain</w:t>
      </w:r>
      <w:r w:rsidR="00CC2E71" w:rsidRPr="008C581F">
        <w:rPr>
          <w:vertAlign w:val="superscript"/>
        </w:rPr>
        <w:t>3</w:t>
      </w:r>
      <w:r w:rsidRPr="008C581F">
        <w:t xml:space="preserve">, </w:t>
      </w:r>
    </w:p>
    <w:p w14:paraId="7D86D336" w14:textId="721F8C57" w:rsidR="00CC2E71" w:rsidRPr="001F3D8E" w:rsidRDefault="009B4DEF" w:rsidP="00EA7D28">
      <w:pPr>
        <w:pStyle w:val="AuthorName"/>
        <w:rPr>
          <w:lang w:val="sv-SE"/>
        </w:rPr>
      </w:pPr>
      <w:r w:rsidRPr="001F3D8E">
        <w:rPr>
          <w:lang w:val="sv-SE"/>
        </w:rPr>
        <w:t>Azlan</w:t>
      </w:r>
      <w:r w:rsidR="00E634E3" w:rsidRPr="001F3D8E">
        <w:rPr>
          <w:lang w:val="sv-SE"/>
        </w:rPr>
        <w:t xml:space="preserve"> Salim</w:t>
      </w:r>
      <w:r w:rsidR="004B7192" w:rsidRPr="001F3D8E">
        <w:rPr>
          <w:vertAlign w:val="superscript"/>
          <w:lang w:val="sv-SE"/>
        </w:rPr>
        <w:t>4</w:t>
      </w:r>
      <w:r w:rsidR="004B7192" w:rsidRPr="001F3D8E">
        <w:rPr>
          <w:lang w:val="sv-SE"/>
        </w:rPr>
        <w:t xml:space="preserve">, </w:t>
      </w:r>
      <w:r w:rsidR="00FE010B" w:rsidRPr="001F3D8E">
        <w:rPr>
          <w:lang w:val="sv-SE"/>
        </w:rPr>
        <w:t>Fadhlina Mahat</w:t>
      </w:r>
      <w:r w:rsidR="00FE010B" w:rsidRPr="001F3D8E">
        <w:rPr>
          <w:vertAlign w:val="superscript"/>
          <w:lang w:val="sv-SE"/>
        </w:rPr>
        <w:t>5</w:t>
      </w:r>
      <w:r w:rsidR="00742C7B" w:rsidRPr="001F3D8E">
        <w:rPr>
          <w:lang w:val="sv-SE"/>
        </w:rPr>
        <w:t>, Mohd Zool</w:t>
      </w:r>
      <w:r w:rsidR="00BC3D4C" w:rsidRPr="001F3D8E">
        <w:rPr>
          <w:lang w:val="sv-SE"/>
        </w:rPr>
        <w:t xml:space="preserve"> F</w:t>
      </w:r>
      <w:r w:rsidR="00742C7B" w:rsidRPr="001F3D8E">
        <w:rPr>
          <w:lang w:val="sv-SE"/>
        </w:rPr>
        <w:t>adli Ibrahim</w:t>
      </w:r>
      <w:r w:rsidR="00742C7B" w:rsidRPr="001F3D8E">
        <w:rPr>
          <w:vertAlign w:val="superscript"/>
          <w:lang w:val="sv-SE"/>
        </w:rPr>
        <w:t>6</w:t>
      </w:r>
      <w:bookmarkEnd w:id="0"/>
    </w:p>
    <w:p w14:paraId="7D4D4607" w14:textId="6E56CB4B" w:rsidR="00B92D04" w:rsidRPr="00243AF9" w:rsidRDefault="00FE010B" w:rsidP="009D7651">
      <w:pPr>
        <w:pStyle w:val="Adress"/>
        <w:jc w:val="left"/>
        <w:rPr>
          <w:lang w:val="sv-SE"/>
        </w:rPr>
      </w:pPr>
      <w:r w:rsidRPr="00243AF9">
        <w:rPr>
          <w:vertAlign w:val="superscript"/>
          <w:lang w:val="sv-SE"/>
        </w:rPr>
        <w:t>1,2,3,4</w:t>
      </w:r>
      <w:r w:rsidR="00232FB1" w:rsidRPr="00243AF9">
        <w:rPr>
          <w:vertAlign w:val="superscript"/>
          <w:lang w:val="sv-SE"/>
        </w:rPr>
        <w:t>,5,6</w:t>
      </w:r>
      <w:r w:rsidR="00BD22C0" w:rsidRPr="00243AF9">
        <w:rPr>
          <w:lang w:val="sv-SE"/>
        </w:rPr>
        <w:t>Fakulti Pengurusan Hotel dan Pela</w:t>
      </w:r>
      <w:r w:rsidR="00E717CF" w:rsidRPr="00243AF9">
        <w:rPr>
          <w:lang w:val="sv-SE"/>
        </w:rPr>
        <w:t>n</w:t>
      </w:r>
      <w:r w:rsidR="00BD22C0" w:rsidRPr="00243AF9">
        <w:rPr>
          <w:lang w:val="sv-SE"/>
        </w:rPr>
        <w:t>congan</w:t>
      </w:r>
      <w:r w:rsidR="004A55A5" w:rsidRPr="00243AF9">
        <w:rPr>
          <w:lang w:val="sv-SE"/>
        </w:rPr>
        <w:t xml:space="preserve">, </w:t>
      </w:r>
      <w:r w:rsidR="00CC2E71" w:rsidRPr="00243AF9">
        <w:rPr>
          <w:lang w:val="sv-SE"/>
        </w:rPr>
        <w:t>Universiti Teknologi MARA</w:t>
      </w:r>
      <w:r w:rsidR="00B92D04" w:rsidRPr="00243AF9">
        <w:rPr>
          <w:lang w:val="sv-SE"/>
        </w:rPr>
        <w:t xml:space="preserve">, </w:t>
      </w:r>
      <w:r w:rsidR="00CC49AA" w:rsidRPr="00243AF9">
        <w:rPr>
          <w:lang w:val="sv-SE"/>
        </w:rPr>
        <w:t xml:space="preserve">Cawangan </w:t>
      </w:r>
      <w:r w:rsidR="00B92D04" w:rsidRPr="00243AF9">
        <w:rPr>
          <w:lang w:val="sv-SE"/>
        </w:rPr>
        <w:t>P</w:t>
      </w:r>
      <w:r w:rsidR="009D7651" w:rsidRPr="00243AF9">
        <w:rPr>
          <w:lang w:val="sv-SE"/>
        </w:rPr>
        <w:t>ulau Pinang</w:t>
      </w:r>
      <w:r w:rsidR="00CC2E71" w:rsidRPr="00243AF9">
        <w:rPr>
          <w:lang w:val="sv-SE"/>
        </w:rPr>
        <w:t xml:space="preserve">, </w:t>
      </w:r>
      <w:r w:rsidR="00CC49AA" w:rsidRPr="00243AF9">
        <w:rPr>
          <w:lang w:val="sv-SE"/>
        </w:rPr>
        <w:t>Kampus</w:t>
      </w:r>
      <w:r w:rsidR="00E717CF" w:rsidRPr="00243AF9">
        <w:rPr>
          <w:lang w:val="sv-SE"/>
        </w:rPr>
        <w:t xml:space="preserve"> </w:t>
      </w:r>
      <w:r w:rsidRPr="00243AF9">
        <w:rPr>
          <w:lang w:val="sv-SE"/>
        </w:rPr>
        <w:t>Permatang Pauh</w:t>
      </w:r>
      <w:r w:rsidR="00B92D04" w:rsidRPr="00243AF9">
        <w:rPr>
          <w:lang w:val="sv-SE"/>
        </w:rPr>
        <w:t xml:space="preserve">, </w:t>
      </w:r>
      <w:r w:rsidRPr="00243AF9">
        <w:rPr>
          <w:lang w:val="sv-SE"/>
        </w:rPr>
        <w:t>135</w:t>
      </w:r>
      <w:r w:rsidR="00B92D04" w:rsidRPr="00243AF9">
        <w:rPr>
          <w:lang w:val="sv-SE"/>
        </w:rPr>
        <w:t xml:space="preserve">00 </w:t>
      </w:r>
      <w:r w:rsidRPr="00243AF9">
        <w:rPr>
          <w:lang w:val="sv-SE"/>
        </w:rPr>
        <w:t>Permatang Pauh</w:t>
      </w:r>
      <w:r w:rsidR="00B92D04" w:rsidRPr="00243AF9">
        <w:rPr>
          <w:lang w:val="sv-SE"/>
        </w:rPr>
        <w:t>, P</w:t>
      </w:r>
      <w:r w:rsidRPr="00243AF9">
        <w:rPr>
          <w:lang w:val="sv-SE"/>
        </w:rPr>
        <w:t>ulau Pinang</w:t>
      </w:r>
      <w:r w:rsidR="00B92D04" w:rsidRPr="00243AF9">
        <w:rPr>
          <w:lang w:val="sv-SE"/>
        </w:rPr>
        <w:t>, Malaysia</w:t>
      </w:r>
    </w:p>
    <w:p w14:paraId="15EE51FA" w14:textId="77777777" w:rsidR="00CC2E71" w:rsidRPr="00243AF9" w:rsidRDefault="00CC2E71" w:rsidP="00EA7D28">
      <w:pPr>
        <w:jc w:val="center"/>
        <w:rPr>
          <w:lang w:val="sv-SE"/>
        </w:rPr>
      </w:pPr>
    </w:p>
    <w:p w14:paraId="72CBA082" w14:textId="0288CC19" w:rsidR="00CC2E71" w:rsidRPr="00B428D6" w:rsidRDefault="00B428D6" w:rsidP="00EA7D28">
      <w:pPr>
        <w:pStyle w:val="Email"/>
        <w:rPr>
          <w:b/>
        </w:rPr>
      </w:pPr>
      <w:r>
        <w:t>A</w:t>
      </w:r>
      <w:r w:rsidR="00CC2E71" w:rsidRPr="008C581F">
        <w:t>uthor</w:t>
      </w:r>
      <w:r>
        <w:t>s’ Email Address</w:t>
      </w:r>
      <w:r w:rsidR="00CC2E71" w:rsidRPr="008C581F">
        <w:t xml:space="preserve">: </w:t>
      </w:r>
      <w:r>
        <w:rPr>
          <w:vertAlign w:val="superscript"/>
        </w:rPr>
        <w:t>1</w:t>
      </w:r>
      <w:r w:rsidR="00742C7B" w:rsidRPr="00742C7B">
        <w:t>2021855986@student.uitm.edu.my</w:t>
      </w:r>
      <w:r w:rsidR="00BD22C0">
        <w:t>,</w:t>
      </w:r>
      <w:r w:rsidR="00BD22C0">
        <w:rPr>
          <w:vertAlign w:val="superscript"/>
        </w:rPr>
        <w:t xml:space="preserve"> *2</w:t>
      </w:r>
      <w:r w:rsidR="00742C7B">
        <w:t>joesr630@uitm.edu.my</w:t>
      </w:r>
      <w:r>
        <w:t xml:space="preserve">, </w:t>
      </w:r>
      <w:r>
        <w:rPr>
          <w:vertAlign w:val="superscript"/>
        </w:rPr>
        <w:t>3</w:t>
      </w:r>
      <w:r w:rsidR="00742C7B" w:rsidRPr="00742C7B">
        <w:t>202</w:t>
      </w:r>
      <w:r w:rsidR="00742C7B">
        <w:t>1</w:t>
      </w:r>
      <w:r w:rsidR="00F51C41">
        <w:t>620118</w:t>
      </w:r>
      <w:r w:rsidR="00742C7B" w:rsidRPr="00742C7B">
        <w:t>@student.uitm.e</w:t>
      </w:r>
      <w:r w:rsidR="00F51C41">
        <w:t>du.my</w:t>
      </w:r>
      <w:r w:rsidR="00BD22C0">
        <w:t xml:space="preserve">, </w:t>
      </w:r>
      <w:r w:rsidR="00BD22C0">
        <w:rPr>
          <w:vertAlign w:val="superscript"/>
        </w:rPr>
        <w:t>4</w:t>
      </w:r>
      <w:r w:rsidR="009B4DEF">
        <w:t>azlan808</w:t>
      </w:r>
      <w:r w:rsidR="00F51C41" w:rsidRPr="00F51C41">
        <w:t>@uitm.edu.my</w:t>
      </w:r>
      <w:r w:rsidR="00BD22C0">
        <w:t xml:space="preserve">, </w:t>
      </w:r>
      <w:r w:rsidR="00BD22C0">
        <w:rPr>
          <w:vertAlign w:val="superscript"/>
        </w:rPr>
        <w:t>5</w:t>
      </w:r>
      <w:r w:rsidR="00F51C41" w:rsidRPr="00F51C41">
        <w:t>fadhlina563@uitm.edu.my</w:t>
      </w:r>
      <w:r w:rsidR="00742C7B">
        <w:t xml:space="preserve">, </w:t>
      </w:r>
      <w:r w:rsidR="00742C7B">
        <w:rPr>
          <w:vertAlign w:val="superscript"/>
        </w:rPr>
        <w:t>6</w:t>
      </w:r>
      <w:r w:rsidR="00F51C41" w:rsidRPr="00F51C41">
        <w:t>zoolfadli@uitm.edu.my</w:t>
      </w:r>
    </w:p>
    <w:p w14:paraId="09228F59" w14:textId="77777777" w:rsidR="000E3963" w:rsidRDefault="000E3963" w:rsidP="00EA7D28">
      <w:pPr>
        <w:pStyle w:val="Dates"/>
      </w:pPr>
    </w:p>
    <w:p w14:paraId="08D9A061" w14:textId="08C95F9C" w:rsidR="00CC2E71" w:rsidRPr="00906BF9" w:rsidRDefault="00CC2E71" w:rsidP="00EA7D28">
      <w:pPr>
        <w:pStyle w:val="Dates"/>
        <w:rPr>
          <w:rFonts w:eastAsiaTheme="minorEastAsia"/>
          <w:lang w:eastAsia="zh-CN"/>
        </w:rPr>
      </w:pPr>
      <w:r w:rsidRPr="008C581F">
        <w:t xml:space="preserve">Received Date: </w:t>
      </w:r>
      <w:r w:rsidR="00906BF9">
        <w:rPr>
          <w:rFonts w:eastAsiaTheme="minorEastAsia" w:hint="eastAsia"/>
          <w:lang w:eastAsia="zh-CN"/>
        </w:rPr>
        <w:t>06 November 2024</w:t>
      </w:r>
    </w:p>
    <w:p w14:paraId="78B618CC" w14:textId="3065A383" w:rsidR="00B5667F" w:rsidRPr="00906BF9" w:rsidRDefault="00CC2E71" w:rsidP="00B5667F">
      <w:pPr>
        <w:pStyle w:val="Dates"/>
        <w:rPr>
          <w:rFonts w:eastAsiaTheme="minorEastAsia"/>
          <w:lang w:eastAsia="zh-CN"/>
        </w:rPr>
      </w:pPr>
      <w:r w:rsidRPr="008C581F">
        <w:t xml:space="preserve">Accepted Date: </w:t>
      </w:r>
      <w:r w:rsidR="007F2CDE">
        <w:rPr>
          <w:rFonts w:eastAsiaTheme="minorEastAsia" w:hint="eastAsia"/>
          <w:lang w:eastAsia="zh-CN"/>
        </w:rPr>
        <w:t>3</w:t>
      </w:r>
      <w:r w:rsidR="00906BF9">
        <w:rPr>
          <w:rFonts w:eastAsiaTheme="minorEastAsia" w:hint="eastAsia"/>
          <w:lang w:eastAsia="zh-CN"/>
        </w:rPr>
        <w:t xml:space="preserve"> </w:t>
      </w:r>
      <w:r w:rsidR="007F2CDE">
        <w:rPr>
          <w:rFonts w:eastAsiaTheme="minorEastAsia" w:hint="eastAsia"/>
          <w:lang w:eastAsia="zh-CN"/>
        </w:rPr>
        <w:t>December</w:t>
      </w:r>
      <w:r w:rsidR="00906BF9">
        <w:rPr>
          <w:rFonts w:eastAsiaTheme="minorEastAsia" w:hint="eastAsia"/>
          <w:lang w:eastAsia="zh-CN"/>
        </w:rPr>
        <w:t xml:space="preserve"> 2024</w:t>
      </w:r>
    </w:p>
    <w:p w14:paraId="5FFDECDA" w14:textId="463EA923" w:rsidR="00CC49AA" w:rsidRPr="00906BF9" w:rsidRDefault="00CC49AA" w:rsidP="00CC49AA">
      <w:pPr>
        <w:pStyle w:val="Dates"/>
        <w:rPr>
          <w:rFonts w:eastAsiaTheme="minorEastAsia"/>
          <w:lang w:eastAsia="zh-CN"/>
        </w:rPr>
      </w:pPr>
      <w:r>
        <w:t>Revised</w:t>
      </w:r>
      <w:r w:rsidRPr="008C581F">
        <w:t xml:space="preserve"> Date: </w:t>
      </w:r>
      <w:r w:rsidR="007F2CDE">
        <w:rPr>
          <w:rFonts w:eastAsiaTheme="minorEastAsia" w:hint="eastAsia"/>
          <w:lang w:eastAsia="zh-CN"/>
        </w:rPr>
        <w:t>11</w:t>
      </w:r>
      <w:r w:rsidR="00906BF9">
        <w:rPr>
          <w:rFonts w:eastAsiaTheme="minorEastAsia" w:hint="eastAsia"/>
          <w:lang w:eastAsia="zh-CN"/>
        </w:rPr>
        <w:t xml:space="preserve"> December 2024</w:t>
      </w:r>
    </w:p>
    <w:p w14:paraId="2D81D359" w14:textId="6CEB87AB" w:rsidR="00B5667F" w:rsidRPr="00906BF9" w:rsidRDefault="00D003A5" w:rsidP="00B5667F">
      <w:pPr>
        <w:pStyle w:val="Dates"/>
        <w:rPr>
          <w:rFonts w:eastAsiaTheme="minorEastAsia"/>
          <w:lang w:eastAsia="zh-CN"/>
        </w:rPr>
      </w:pPr>
      <w:r>
        <w:t xml:space="preserve">Published Date: </w:t>
      </w:r>
      <w:r w:rsidR="00D00B21">
        <w:rPr>
          <w:rFonts w:eastAsiaTheme="minorEastAsia" w:hint="eastAsia"/>
          <w:lang w:eastAsia="zh-CN"/>
        </w:rPr>
        <w:t>3</w:t>
      </w:r>
      <w:r w:rsidR="00906BF9">
        <w:rPr>
          <w:rFonts w:eastAsiaTheme="minorEastAsia" w:hint="eastAsia"/>
          <w:lang w:eastAsia="zh-CN"/>
        </w:rPr>
        <w:t>1 January 2025</w:t>
      </w:r>
    </w:p>
    <w:p w14:paraId="3056A381" w14:textId="6895B813" w:rsidR="00D003A5" w:rsidRDefault="00D003A5" w:rsidP="00EA7D28">
      <w:pPr>
        <w:pStyle w:val="Dates"/>
      </w:pPr>
    </w:p>
    <w:p w14:paraId="07674A5B" w14:textId="6C29D8CF" w:rsidR="00A71A2B" w:rsidRPr="008C581F" w:rsidRDefault="00A71A2B" w:rsidP="00EA7D28">
      <w:pPr>
        <w:pStyle w:val="Dates"/>
      </w:pPr>
      <w:r>
        <w:t>*Corresponding Author</w:t>
      </w:r>
    </w:p>
    <w:p w14:paraId="7BABF8E4" w14:textId="77777777" w:rsidR="00CC2E71" w:rsidRPr="008C581F" w:rsidRDefault="00CC2E71" w:rsidP="00CC2E71"/>
    <w:p w14:paraId="0F784C06" w14:textId="77777777" w:rsidR="00CC2E71" w:rsidRPr="008C581F" w:rsidRDefault="00CC2E71" w:rsidP="00EA7D28">
      <w:pPr>
        <w:pStyle w:val="Abstracttitle"/>
      </w:pPr>
      <w:r w:rsidRPr="008C581F">
        <w:t>ABSTRACT</w:t>
      </w:r>
    </w:p>
    <w:p w14:paraId="15094C23" w14:textId="3441FC60" w:rsidR="00CC2E71" w:rsidRPr="000830A0" w:rsidRDefault="000830A0" w:rsidP="00E94051">
      <w:pPr>
        <w:pStyle w:val="Abstract"/>
        <w:rPr>
          <w:lang w:val="en-GB"/>
        </w:rPr>
      </w:pPr>
      <w:r w:rsidRPr="000830A0">
        <w:rPr>
          <w:lang w:val="en-GB"/>
        </w:rPr>
        <w:t>This study investigates the factors influencing Langkawi residents' intentions to patronise local restaurants amidst the challenges and opportunities posed by the island’s tourism and culinary landscape. With the Theory of Planned Behaviour (TPB) as the guiding framework, this research aims to understand how attitudes, subjective norms, and perceived behavioural control impact residents’ dining preferences. A quantitative approach was employed</w:t>
      </w:r>
      <w:r w:rsidR="003255FE">
        <w:rPr>
          <w:lang w:val="en-GB"/>
        </w:rPr>
        <w:t xml:space="preserve"> by</w:t>
      </w:r>
      <w:r w:rsidRPr="000830A0">
        <w:rPr>
          <w:lang w:val="en-GB"/>
        </w:rPr>
        <w:t xml:space="preserve"> utilising a structured questionnaire distributed online to 188 Langkawi residents, focusing on factors such as attitudes toward local dining, social influences, and perceived accessibility. Key findings reveal a strong positive correlation between patronising intentions and subjective norms, suggesting that social and cultural factors significantly drive dining choices. Attitudes and perceived behavioural control also strongly predict intentions, indicating that positive perceptions of local cuisine and ease of access encourage patronage. These insights offer practical implications for local restaurant operators, suggesting that fostering positive community attitudes, enhancing social engagement, and improving accessibility could boost local support for dining establishments. However, limitations include the study’s geographic focus on Langkawi and the cross-sectional nature of data, which may limit generalizability. Future research could explore the impact of tourism dynamics and economic changes on local dining behaviours. This study contributes to understanding consumer behaviour within a localised food and beverage sector, providing valuable guidance for stakeholders to enhance the sustainability and competitiveness of Langkawi’s restaurant industry</w:t>
      </w:r>
      <w:r w:rsidR="00A66215" w:rsidRPr="000830A0">
        <w:rPr>
          <w:lang w:val="en-GB"/>
        </w:rPr>
        <w:t>.</w:t>
      </w:r>
    </w:p>
    <w:p w14:paraId="20BA98E8" w14:textId="77777777" w:rsidR="00CC2E71" w:rsidRPr="000830A0" w:rsidRDefault="00CC2E71" w:rsidP="00EA7D28">
      <w:pPr>
        <w:jc w:val="both"/>
        <w:rPr>
          <w:b/>
          <w:sz w:val="24"/>
          <w:szCs w:val="24"/>
        </w:rPr>
      </w:pPr>
    </w:p>
    <w:p w14:paraId="3188CCFB" w14:textId="4222FBF9" w:rsidR="00CC2E71" w:rsidRPr="000830A0" w:rsidRDefault="00CC2E71" w:rsidP="00CC2E71">
      <w:pPr>
        <w:ind w:left="1134" w:hanging="1134"/>
        <w:jc w:val="both"/>
        <w:rPr>
          <w:i/>
        </w:rPr>
      </w:pPr>
      <w:r w:rsidRPr="000830A0">
        <w:rPr>
          <w:b/>
          <w:i/>
        </w:rPr>
        <w:t>Keywords</w:t>
      </w:r>
      <w:r w:rsidRPr="000830A0">
        <w:t xml:space="preserve">: </w:t>
      </w:r>
      <w:r w:rsidR="009F7513">
        <w:rPr>
          <w:rFonts w:eastAsiaTheme="minorEastAsia" w:hint="eastAsia"/>
          <w:i/>
          <w:lang w:eastAsia="zh-CN"/>
        </w:rPr>
        <w:t>L</w:t>
      </w:r>
      <w:r w:rsidR="009F7513" w:rsidRPr="009F7513">
        <w:rPr>
          <w:i/>
        </w:rPr>
        <w:t>angkawi</w:t>
      </w:r>
      <w:r w:rsidR="007A4F41" w:rsidRPr="000830A0">
        <w:rPr>
          <w:i/>
        </w:rPr>
        <w:t xml:space="preserve">, </w:t>
      </w:r>
      <w:r w:rsidR="009F7513">
        <w:rPr>
          <w:rFonts w:eastAsiaTheme="minorEastAsia" w:hint="eastAsia"/>
          <w:i/>
          <w:lang w:eastAsia="zh-CN"/>
        </w:rPr>
        <w:t>p</w:t>
      </w:r>
      <w:r w:rsidR="007A4F41" w:rsidRPr="000830A0">
        <w:rPr>
          <w:i/>
        </w:rPr>
        <w:t>atroni</w:t>
      </w:r>
      <w:r w:rsidR="000830A0" w:rsidRPr="000830A0">
        <w:rPr>
          <w:i/>
        </w:rPr>
        <w:t>s</w:t>
      </w:r>
      <w:r w:rsidR="007A4F41" w:rsidRPr="000830A0">
        <w:rPr>
          <w:i/>
        </w:rPr>
        <w:t xml:space="preserve">ed </w:t>
      </w:r>
      <w:r w:rsidR="009F7513">
        <w:rPr>
          <w:rFonts w:eastAsiaTheme="minorEastAsia" w:hint="eastAsia"/>
          <w:i/>
          <w:lang w:eastAsia="zh-CN"/>
        </w:rPr>
        <w:t>i</w:t>
      </w:r>
      <w:r w:rsidR="007A4F41" w:rsidRPr="000830A0">
        <w:rPr>
          <w:i/>
        </w:rPr>
        <w:t xml:space="preserve">ntentions, </w:t>
      </w:r>
      <w:r w:rsidR="009F7513">
        <w:rPr>
          <w:rFonts w:eastAsiaTheme="minorEastAsia" w:hint="eastAsia"/>
          <w:i/>
          <w:lang w:eastAsia="zh-CN"/>
        </w:rPr>
        <w:t>r</w:t>
      </w:r>
      <w:r w:rsidR="007A4F41" w:rsidRPr="000830A0">
        <w:rPr>
          <w:i/>
        </w:rPr>
        <w:t xml:space="preserve">estaurant </w:t>
      </w:r>
      <w:r w:rsidR="009F7513">
        <w:rPr>
          <w:rFonts w:eastAsiaTheme="minorEastAsia" w:hint="eastAsia"/>
          <w:i/>
          <w:lang w:eastAsia="zh-CN"/>
        </w:rPr>
        <w:t>v</w:t>
      </w:r>
      <w:r w:rsidR="007A4F41" w:rsidRPr="000830A0">
        <w:rPr>
          <w:i/>
        </w:rPr>
        <w:t xml:space="preserve">isits, </w:t>
      </w:r>
      <w:r w:rsidR="009F7513" w:rsidRPr="009F7513">
        <w:rPr>
          <w:i/>
        </w:rPr>
        <w:t>Theory of Planned Behaviour (TPB)</w:t>
      </w:r>
    </w:p>
    <w:p w14:paraId="682C84B6" w14:textId="77777777" w:rsidR="00316E95" w:rsidRDefault="00316E95" w:rsidP="00CE25B1">
      <w:pPr>
        <w:pStyle w:val="ListParagraph"/>
        <w:tabs>
          <w:tab w:val="left" w:pos="270"/>
        </w:tabs>
        <w:spacing w:after="0" w:line="240" w:lineRule="auto"/>
        <w:ind w:left="0"/>
        <w:jc w:val="both"/>
        <w:rPr>
          <w:rFonts w:ascii="Times New Roman" w:hAnsi="Times New Roman"/>
          <w:b/>
          <w:color w:val="000000"/>
        </w:rPr>
      </w:pPr>
    </w:p>
    <w:p w14:paraId="25738E3B" w14:textId="77777777" w:rsidR="00714B3B" w:rsidRPr="000830A0" w:rsidRDefault="00714B3B" w:rsidP="00CE25B1">
      <w:pPr>
        <w:pStyle w:val="ListParagraph"/>
        <w:tabs>
          <w:tab w:val="left" w:pos="270"/>
        </w:tabs>
        <w:spacing w:after="0" w:line="240" w:lineRule="auto"/>
        <w:ind w:left="0"/>
        <w:jc w:val="both"/>
        <w:rPr>
          <w:rFonts w:ascii="Times New Roman" w:hAnsi="Times New Roman"/>
          <w:b/>
          <w:color w:val="000000"/>
        </w:rPr>
      </w:pPr>
    </w:p>
    <w:p w14:paraId="0EEC178E" w14:textId="77777777" w:rsidR="00CC2E71" w:rsidRPr="00CC2E71" w:rsidRDefault="00CC2E71" w:rsidP="00EE7659">
      <w:pPr>
        <w:pStyle w:val="Heading1"/>
      </w:pPr>
      <w:bookmarkStart w:id="1" w:name="_Hlk180634051"/>
      <w:r w:rsidRPr="00CC2E71">
        <w:t>INTRODUCTION</w:t>
      </w:r>
      <w:r>
        <w:t xml:space="preserve"> </w:t>
      </w:r>
    </w:p>
    <w:p w14:paraId="68E9C027" w14:textId="5329607D" w:rsidR="00283E8F" w:rsidRDefault="00283E8F" w:rsidP="00283E8F">
      <w:pPr>
        <w:tabs>
          <w:tab w:val="left" w:pos="0"/>
        </w:tabs>
        <w:jc w:val="both"/>
        <w:rPr>
          <w:rFonts w:eastAsiaTheme="minorEastAsia"/>
          <w:lang w:eastAsia="zh-CN"/>
        </w:rPr>
      </w:pPr>
      <w:r>
        <w:t xml:space="preserve">Langkawi Island is a well-known tourist destination in Malaysia, enticing travellers with its diverse attractions and distinctive offerings. Local community involvement in ecotourism has enhanced social </w:t>
      </w:r>
      <w:r>
        <w:lastRenderedPageBreak/>
        <w:t>benefits, such as increasing tourism numbers and creating job opportunities (Ab Rashid et al., 2021). The island's primary attractions include its pristine beaches, tropical climate, rich biodiversity, historical landmarks, outdoor recreation opportunities, and tax-free shopping (Ismail et al., 2021). Langkawi's designation as a UNESCO Global Geopark further underscores its position as a premier ecotourism destination in Malaysia (Yusof et al., 2021).</w:t>
      </w:r>
    </w:p>
    <w:p w14:paraId="1E547B0D" w14:textId="77777777" w:rsidR="009F7513" w:rsidRPr="009F7513" w:rsidRDefault="009F7513" w:rsidP="00283E8F">
      <w:pPr>
        <w:tabs>
          <w:tab w:val="left" w:pos="0"/>
        </w:tabs>
        <w:jc w:val="both"/>
        <w:rPr>
          <w:rFonts w:eastAsiaTheme="minorEastAsia"/>
          <w:lang w:eastAsia="zh-CN"/>
        </w:rPr>
      </w:pPr>
    </w:p>
    <w:p w14:paraId="6A7D7587" w14:textId="2A016DA0" w:rsidR="00283E8F" w:rsidRDefault="00283E8F" w:rsidP="00283E8F">
      <w:pPr>
        <w:tabs>
          <w:tab w:val="left" w:pos="0"/>
        </w:tabs>
        <w:jc w:val="both"/>
      </w:pPr>
      <w:r>
        <w:t>Langkawi's culinary scene, a unique blend of traditional Malay flavours and innovative fusion cuisines, adds a distinct layer to its allure. The island's restaurants and cafes, often set against scenic ocean views or lush greenery, enhance the visitor</w:t>
      </w:r>
      <w:r w:rsidR="00FF76DB">
        <w:t>’s overall</w:t>
      </w:r>
      <w:r>
        <w:t xml:space="preserve"> experience. The combination of food, natural beauty, and tourist attractions creates a sensory experience that is truly unforgettable for visitors.</w:t>
      </w:r>
    </w:p>
    <w:p w14:paraId="6A12ADC8" w14:textId="6071641A" w:rsidR="00283E8F" w:rsidRDefault="00283E8F" w:rsidP="00283E8F">
      <w:pPr>
        <w:tabs>
          <w:tab w:val="left" w:pos="0"/>
        </w:tabs>
        <w:jc w:val="both"/>
        <w:rPr>
          <w:rFonts w:eastAsiaTheme="minorEastAsia"/>
          <w:lang w:eastAsia="zh-CN"/>
        </w:rPr>
      </w:pPr>
      <w:r>
        <w:t xml:space="preserve">However, beneath this vibrant tourism landscape lies a complex web of challenges Langkawi's local restaurant industry faces. In recent years, the island has experienced a surge in tourism, attracting visitors eager to explore its natural wonders and cultural heritage (Mohd Shariff &amp; Zainol Abidin, 2020). Despite this influx, </w:t>
      </w:r>
      <w:r w:rsidR="00153AC2">
        <w:t xml:space="preserve">the </w:t>
      </w:r>
      <w:r>
        <w:t>local food businesses face increasing competition and economic pressures. Reports indicate that up to 31 out of 163 food and beverage entrepreneurs in Langkawi are expected to shut down due to factors such as reduced local patronage, high food prices, and the growing popularity of online food delivery services (</w:t>
      </w:r>
      <w:proofErr w:type="spellStart"/>
      <w:r>
        <w:t>MalayMail</w:t>
      </w:r>
      <w:proofErr w:type="spellEnd"/>
      <w:r>
        <w:t xml:space="preserve">, 2023, November 21; </w:t>
      </w:r>
      <w:proofErr w:type="spellStart"/>
      <w:r>
        <w:t>Sinar</w:t>
      </w:r>
      <w:proofErr w:type="spellEnd"/>
      <w:r>
        <w:t xml:space="preserve"> Harian, 2024, January 16). Moreover, Langkawi residents’ preference for non-local dining options has further exacerbated this issue, posing a significant threat to the sustainability of local food businesses (</w:t>
      </w:r>
      <w:proofErr w:type="spellStart"/>
      <w:r>
        <w:t>MalayMail</w:t>
      </w:r>
      <w:proofErr w:type="spellEnd"/>
      <w:r>
        <w:t>, 2023, November 7).</w:t>
      </w:r>
    </w:p>
    <w:p w14:paraId="4A7EF146" w14:textId="77777777" w:rsidR="009F7513" w:rsidRPr="009F7513" w:rsidRDefault="009F7513" w:rsidP="00283E8F">
      <w:pPr>
        <w:tabs>
          <w:tab w:val="left" w:pos="0"/>
        </w:tabs>
        <w:jc w:val="both"/>
        <w:rPr>
          <w:rFonts w:eastAsiaTheme="minorEastAsia"/>
          <w:lang w:eastAsia="zh-CN"/>
        </w:rPr>
      </w:pPr>
    </w:p>
    <w:p w14:paraId="69A1C784" w14:textId="02FADFB4" w:rsidR="00283E8F" w:rsidRDefault="00283E8F" w:rsidP="00283E8F">
      <w:pPr>
        <w:tabs>
          <w:tab w:val="left" w:pos="0"/>
        </w:tabs>
        <w:jc w:val="both"/>
        <w:rPr>
          <w:rFonts w:eastAsiaTheme="minorEastAsia"/>
          <w:lang w:eastAsia="zh-CN"/>
        </w:rPr>
      </w:pPr>
      <w:r w:rsidRPr="00CB591F">
        <w:t>While the dining preferences of tourists in Langkawi have been extensively studied, there is a need to explore a noticeable gap in understanding the dining behaviours of residents, particularly within the context of a tourism-heavy environment. Current literature has largely overlooked the socioeconomic and cultural factors that shape residents' dining choices despite their critical role in sustaining local businesses (Jamaluddin et al., 2022). This gap is particularly concerning given the increasing competition from international restaurant chains and alternative dining options that dominate the island's culinary landscape.</w:t>
      </w:r>
    </w:p>
    <w:p w14:paraId="490C7CB9" w14:textId="77777777" w:rsidR="009F7513" w:rsidRPr="009F7513" w:rsidRDefault="009F7513" w:rsidP="00283E8F">
      <w:pPr>
        <w:tabs>
          <w:tab w:val="left" w:pos="0"/>
        </w:tabs>
        <w:jc w:val="both"/>
        <w:rPr>
          <w:rFonts w:eastAsiaTheme="minorEastAsia"/>
          <w:lang w:eastAsia="zh-CN"/>
        </w:rPr>
      </w:pPr>
    </w:p>
    <w:p w14:paraId="3FCF6BD4" w14:textId="7F1993A7" w:rsidR="007436AB" w:rsidRDefault="00283E8F" w:rsidP="00283E8F">
      <w:pPr>
        <w:tabs>
          <w:tab w:val="left" w:pos="0"/>
        </w:tabs>
        <w:jc w:val="both"/>
      </w:pPr>
      <w:r>
        <w:t>This study addresses this gap by exploring the factors influencing Langkawi residents' intentions to patronise local restaurants, using the Theory of Planned Behaviour (TPB) as the guiding framework. TPB offers a comprehensive perspective on consumer behaviour, focusing on the interplay of attitudes, subjective norms, and perceived behavioural control in shaping behavioural intentions (Ajzen, 1985). By applying this framework, the study seeks to provide actionable insights into how local restaurant operators and policymakers can better engage with the resident population. Enhancing local patronage through targeted strategies could contribute to the sustainability and competitiveness of Langkawi’s restaurant industry, ensuring that it thrives alongside the island’s tourism sector.</w:t>
      </w:r>
    </w:p>
    <w:p w14:paraId="45377F0C" w14:textId="77777777" w:rsidR="001F3D8E" w:rsidRDefault="001F3D8E" w:rsidP="00283E8F">
      <w:pPr>
        <w:tabs>
          <w:tab w:val="left" w:pos="0"/>
        </w:tabs>
        <w:jc w:val="both"/>
      </w:pPr>
    </w:p>
    <w:p w14:paraId="28BC46DD" w14:textId="7ECB12EA" w:rsidR="00594870" w:rsidRPr="00CC2E71" w:rsidRDefault="00594870" w:rsidP="00594870">
      <w:pPr>
        <w:pStyle w:val="Heading1"/>
      </w:pPr>
      <w:r>
        <w:t xml:space="preserve">LITERATURE REVIEW </w:t>
      </w:r>
    </w:p>
    <w:p w14:paraId="08C93C28" w14:textId="4FE063E5" w:rsidR="00594870" w:rsidRPr="00CC2E71" w:rsidRDefault="00594870" w:rsidP="00594870">
      <w:pPr>
        <w:pStyle w:val="Heading2"/>
      </w:pPr>
      <w:r w:rsidRPr="00594870">
        <w:t>Langkawi Resident's Eating Behaviour</w:t>
      </w:r>
    </w:p>
    <w:p w14:paraId="5584EF20" w14:textId="77777777" w:rsidR="00850211" w:rsidRDefault="00594870" w:rsidP="00850211">
      <w:pPr>
        <w:tabs>
          <w:tab w:val="left" w:pos="0"/>
        </w:tabs>
        <w:jc w:val="both"/>
        <w:rPr>
          <w:rFonts w:eastAsiaTheme="minorEastAsia"/>
          <w:color w:val="000000" w:themeColor="text1"/>
          <w:lang w:eastAsia="zh-CN"/>
        </w:rPr>
      </w:pPr>
      <w:r>
        <w:tab/>
      </w:r>
      <w:r w:rsidR="00850211" w:rsidRPr="00850211">
        <w:rPr>
          <w:color w:val="000000" w:themeColor="text1"/>
        </w:rPr>
        <w:t>The eating habits of Langkawi residents are deeply rooted in the island's unique geography, culture, and socioeconomic environment. Rice remains a staple, often paired with local specialities like nasi tomato, while seafood, especially fish, is commonly grilled, reflecting the island's proximity to abundant marine resources (Albiston, 2021). These eating patterns, shaped by the interplay of family-run food businesses and the island's tourism industry, with socioeconomic factors influencing dietary choices (Jamaluddin et al., 2022), are a testament to the island's rich heritage and cultural diversity. The sustainability of such businesses often hinges on intergenerational entrepreneurship, underscoring the economic and cultural significance of these enterprises (Arefin et al., 2023).</w:t>
      </w:r>
    </w:p>
    <w:p w14:paraId="77836A10" w14:textId="77777777" w:rsidR="009F7513" w:rsidRPr="009F7513" w:rsidRDefault="009F7513" w:rsidP="00850211">
      <w:pPr>
        <w:tabs>
          <w:tab w:val="left" w:pos="0"/>
        </w:tabs>
        <w:jc w:val="both"/>
        <w:rPr>
          <w:rFonts w:eastAsiaTheme="minorEastAsia"/>
          <w:color w:val="000000" w:themeColor="text1"/>
          <w:lang w:eastAsia="zh-CN"/>
        </w:rPr>
      </w:pPr>
    </w:p>
    <w:p w14:paraId="07DD2092" w14:textId="5F76C45D" w:rsidR="00594870" w:rsidRPr="00594870" w:rsidRDefault="00735566" w:rsidP="00850211">
      <w:pPr>
        <w:tabs>
          <w:tab w:val="left" w:pos="0"/>
        </w:tabs>
        <w:jc w:val="both"/>
        <w:rPr>
          <w:color w:val="000000" w:themeColor="text1"/>
        </w:rPr>
      </w:pPr>
      <w:r>
        <w:rPr>
          <w:color w:val="000000" w:themeColor="text1"/>
        </w:rPr>
        <w:lastRenderedPageBreak/>
        <w:tab/>
      </w:r>
      <w:r w:rsidR="00850211" w:rsidRPr="00850211">
        <w:rPr>
          <w:color w:val="000000" w:themeColor="text1"/>
        </w:rPr>
        <w:t xml:space="preserve">Recent trends have underscored the challenges faced by Langkawi's local food industry. </w:t>
      </w:r>
      <w:r w:rsidR="00FF76DB" w:rsidRPr="00850211">
        <w:rPr>
          <w:color w:val="000000" w:themeColor="text1"/>
        </w:rPr>
        <w:t>The high cost of living</w:t>
      </w:r>
      <w:r w:rsidR="00850211" w:rsidRPr="00850211">
        <w:rPr>
          <w:color w:val="000000" w:themeColor="text1"/>
        </w:rPr>
        <w:t xml:space="preserve"> limited recreational opportunities, and the growing preference for online food delivery have led to a decline in locals dining out (Zakaria et al., 2022; Malay Mail, 2023). These shifts highlight the urgent need for innovative strategies to sustain local restaurants, especially in family business sustainability and the expanding role of online culinary services.</w:t>
      </w:r>
    </w:p>
    <w:p w14:paraId="2215E041" w14:textId="647D7E8D" w:rsidR="00CF61CF" w:rsidRPr="00CC2E71" w:rsidRDefault="00FD5A16" w:rsidP="00CF61CF">
      <w:pPr>
        <w:pStyle w:val="Heading2"/>
      </w:pPr>
      <w:r w:rsidRPr="00FD5A16">
        <w:t>Theory of Planned Behavior and Its Relevance to Eating Behavior</w:t>
      </w:r>
    </w:p>
    <w:p w14:paraId="46C73639" w14:textId="77777777" w:rsidR="00FD5A16" w:rsidRDefault="00CF61CF" w:rsidP="00FD5A16">
      <w:pPr>
        <w:jc w:val="both"/>
        <w:rPr>
          <w:rFonts w:eastAsiaTheme="minorEastAsia"/>
          <w:lang w:eastAsia="zh-CN"/>
        </w:rPr>
      </w:pPr>
      <w:r>
        <w:tab/>
      </w:r>
      <w:r w:rsidR="00FD5A16">
        <w:t>The Theory of Planned Behavior (TPB) provides a structured framework to understand Langkawi residents' dining patterns and intentions to patronise restaurants. According to Ajzen (1985), the Theory of Planned Behaviour (TPB) suggests that behaviour is primarily driven by intentions, which are shaped by three key factors: attitudes, subjective norms, and perceived behavioural control. This theory has proven valuable in predicting behavioural intentions, particularly in social contexts like dining out.</w:t>
      </w:r>
    </w:p>
    <w:p w14:paraId="27C9EF57" w14:textId="77777777" w:rsidR="009F7513" w:rsidRPr="009F7513" w:rsidRDefault="009F7513" w:rsidP="00FD5A16">
      <w:pPr>
        <w:jc w:val="both"/>
        <w:rPr>
          <w:rFonts w:eastAsiaTheme="minorEastAsia"/>
          <w:lang w:eastAsia="zh-CN"/>
        </w:rPr>
      </w:pPr>
    </w:p>
    <w:p w14:paraId="3C48D1FD" w14:textId="6A581BF8" w:rsidR="00CF61CF" w:rsidRDefault="00FD5A16" w:rsidP="00FD5A16">
      <w:pPr>
        <w:ind w:firstLine="720"/>
        <w:jc w:val="both"/>
      </w:pPr>
      <w:r>
        <w:t xml:space="preserve">In Langkawi, TPB offers a comprehensive lens to examine factors such as menu variety, price sensitivity, and service quality and how these elements shape attitudes and social norms regarding restaurant visits (Azman &amp; Majid, 2023; </w:t>
      </w:r>
      <w:proofErr w:type="spellStart"/>
      <w:r>
        <w:t>Tommasetti</w:t>
      </w:r>
      <w:proofErr w:type="spellEnd"/>
      <w:r>
        <w:t xml:space="preserve"> et al., 2018). Moreover, TPB provides a valuable perspective on the implications of customers' online reviews and risk perceptions, which increasingly influence restaurant choice and visitation frequency (</w:t>
      </w:r>
      <w:proofErr w:type="spellStart"/>
      <w:r>
        <w:t>Huifeng</w:t>
      </w:r>
      <w:proofErr w:type="spellEnd"/>
      <w:r>
        <w:t xml:space="preserve"> &amp; Ha, 2021).</w:t>
      </w:r>
      <w:r w:rsidR="000830A0">
        <w:t xml:space="preserve"> </w:t>
      </w:r>
    </w:p>
    <w:p w14:paraId="32EBED68" w14:textId="11EBA8A6" w:rsidR="0033260B" w:rsidRPr="00CC2E71" w:rsidRDefault="0033260B" w:rsidP="0033260B">
      <w:pPr>
        <w:pStyle w:val="Heading2"/>
      </w:pPr>
      <w:r w:rsidRPr="0033260B">
        <w:t>Restaurant Visits and Patroni</w:t>
      </w:r>
      <w:r w:rsidR="000830A0">
        <w:t>s</w:t>
      </w:r>
      <w:r w:rsidRPr="0033260B">
        <w:t>ed Intentions</w:t>
      </w:r>
    </w:p>
    <w:p w14:paraId="074F463C" w14:textId="1AEF5538" w:rsidR="00FD5A16" w:rsidRDefault="0033260B" w:rsidP="00FD5A16">
      <w:pPr>
        <w:jc w:val="both"/>
        <w:rPr>
          <w:rFonts w:eastAsiaTheme="minorEastAsia"/>
          <w:lang w:eastAsia="zh-CN"/>
        </w:rPr>
      </w:pPr>
      <w:r>
        <w:tab/>
      </w:r>
      <w:r w:rsidR="00FD5A16">
        <w:t xml:space="preserve">Understanding the factors influencing restaurant visits and patronage intentions has become a priority for restaurant operators and marketers aiming to enhance customer experiences and foster loyalty. This understanding empowers us to make informed decisions about where and what to eat, and it also guides restaurant operators in their efforts to enhance customer experiences and foster loyalty. </w:t>
      </w:r>
      <w:r w:rsidR="0010795B" w:rsidRPr="0010795B">
        <w:rPr>
          <w:rFonts w:eastAsiaTheme="minorEastAsia" w:hint="eastAsia"/>
          <w:strike/>
          <w:lang w:eastAsia="zh-CN"/>
        </w:rPr>
        <w:t>S</w:t>
      </w:r>
      <w:r w:rsidR="00FD5A16" w:rsidRPr="0010795B">
        <w:t xml:space="preserve">tudies highlight the importance of food quality, sustainability practices, and unique restaurant </w:t>
      </w:r>
      <w:r w:rsidR="00FD5A16">
        <w:t>aesthetics as determinants of customer behaviour (Yu et al., 2018; Jin et al., 2016). These elements are particularly relevant for Langkawi, given the island's reliance on tourism and its culturally rich culinary offerings.</w:t>
      </w:r>
    </w:p>
    <w:p w14:paraId="6D45BB75" w14:textId="77777777" w:rsidR="009F7513" w:rsidRPr="009F7513" w:rsidRDefault="009F7513" w:rsidP="00FD5A16">
      <w:pPr>
        <w:jc w:val="both"/>
        <w:rPr>
          <w:rFonts w:eastAsiaTheme="minorEastAsia"/>
          <w:lang w:eastAsia="zh-CN"/>
        </w:rPr>
      </w:pPr>
    </w:p>
    <w:p w14:paraId="1FFF7B0F" w14:textId="6C29F4FF" w:rsidR="0033260B" w:rsidRDefault="00FD5A16" w:rsidP="00FD5A16">
      <w:pPr>
        <w:ind w:firstLine="720"/>
        <w:jc w:val="both"/>
      </w:pPr>
      <w:r>
        <w:t>Research also emphasises the role of pricing, quality, and cultural preferences in shaping dining decisions, particularly in informal dining settings like street food vendors (</w:t>
      </w:r>
      <w:proofErr w:type="spellStart"/>
      <w:r>
        <w:t>Tacardon</w:t>
      </w:r>
      <w:proofErr w:type="spellEnd"/>
      <w:r>
        <w:t xml:space="preserve"> et al., 2023). These findings underscore the need for restaurants to cultivate a strong brand identity, maintain high service standards, and ensure a safe dining environment to attract and retain customers in an increasingly competitive market (Panova &amp; </w:t>
      </w:r>
      <w:proofErr w:type="spellStart"/>
      <w:r>
        <w:t>Zernenkova</w:t>
      </w:r>
      <w:proofErr w:type="spellEnd"/>
      <w:r>
        <w:t>, 2023).</w:t>
      </w:r>
    </w:p>
    <w:p w14:paraId="6ADF93F4" w14:textId="2E381895" w:rsidR="0033260B" w:rsidRPr="00CC2E71" w:rsidRDefault="0033260B" w:rsidP="0033260B">
      <w:pPr>
        <w:pStyle w:val="Heading2"/>
      </w:pPr>
      <w:r w:rsidRPr="0033260B">
        <w:t>Attitude</w:t>
      </w:r>
    </w:p>
    <w:p w14:paraId="7B5EEEF9" w14:textId="77777777" w:rsidR="00FD5A16" w:rsidRDefault="0033260B" w:rsidP="00FD5A16">
      <w:pPr>
        <w:jc w:val="both"/>
        <w:rPr>
          <w:rFonts w:eastAsiaTheme="minorEastAsia"/>
          <w:lang w:eastAsia="zh-CN"/>
        </w:rPr>
      </w:pPr>
      <w:r>
        <w:tab/>
      </w:r>
      <w:r w:rsidR="00FD5A16">
        <w:t xml:space="preserve">Attitude plays a pivotal role in influencing consumers' intentions to visit restaurants. Studies have consistently demonstrated that positive attitudes towards a dining experience can significantly shape behavioural intentions (Burkov et al., 2023). For instance, Lim and </w:t>
      </w:r>
      <w:proofErr w:type="gramStart"/>
      <w:r w:rsidR="00FD5A16">
        <w:t>An</w:t>
      </w:r>
      <w:proofErr w:type="gramEnd"/>
      <w:r w:rsidR="00FD5A16">
        <w:t xml:space="preserve"> (2021) found that subjective norms and behavioural intentions were strongly correlated in their study of Korean consumers' willingness to purchase well-being food. Similarly, </w:t>
      </w:r>
      <w:proofErr w:type="spellStart"/>
      <w:r w:rsidR="00FD5A16">
        <w:t>Tacardon</w:t>
      </w:r>
      <w:proofErr w:type="spellEnd"/>
      <w:r w:rsidR="00FD5A16">
        <w:t xml:space="preserve"> (2023) highlighted the importance of perceived value and food quality in driving consumption intentions.</w:t>
      </w:r>
    </w:p>
    <w:p w14:paraId="46C8A8BF" w14:textId="77777777" w:rsidR="009F7513" w:rsidRPr="009F7513" w:rsidRDefault="009F7513" w:rsidP="00FD5A16">
      <w:pPr>
        <w:jc w:val="both"/>
        <w:rPr>
          <w:rFonts w:eastAsiaTheme="minorEastAsia"/>
          <w:lang w:eastAsia="zh-CN"/>
        </w:rPr>
      </w:pPr>
    </w:p>
    <w:p w14:paraId="1E3BDBE6" w14:textId="2ED37C20" w:rsidR="0033260B" w:rsidRDefault="00FD5A16" w:rsidP="00FD5A16">
      <w:pPr>
        <w:ind w:firstLine="720"/>
        <w:jc w:val="both"/>
      </w:pPr>
      <w:r>
        <w:t xml:space="preserve">While these studies within different settings, their findings resonate with the </w:t>
      </w:r>
      <w:r w:rsidRPr="00906BF9">
        <w:t>Langkawi context, where attitudes towards food experiences are crucial in shaping dining behaviours. For instance, the dimension of food travel motivation and the integration of the "foodscape" into TPB frameworks suggest that attitudes towards food experiences influence restaurant visits and align with broader culinary tourism motivations (Su et al., 2020). Recognising the significance of attitudes emphasises their role in shaping restaurant patronage intentions.</w:t>
      </w:r>
    </w:p>
    <w:p w14:paraId="796FBB87" w14:textId="42F4C672" w:rsidR="0033260B" w:rsidRPr="00CC2E71" w:rsidRDefault="0033260B" w:rsidP="0033260B">
      <w:pPr>
        <w:pStyle w:val="Heading2"/>
      </w:pPr>
      <w:r>
        <w:lastRenderedPageBreak/>
        <w:t>S</w:t>
      </w:r>
      <w:r w:rsidRPr="0033260B">
        <w:t>ubjective Norm</w:t>
      </w:r>
    </w:p>
    <w:p w14:paraId="2D95E2C4" w14:textId="77777777" w:rsidR="00FD5A16" w:rsidRDefault="0033260B" w:rsidP="00FD5A16">
      <w:pPr>
        <w:jc w:val="both"/>
        <w:rPr>
          <w:rFonts w:eastAsiaTheme="minorEastAsia"/>
          <w:lang w:eastAsia="zh-CN"/>
        </w:rPr>
      </w:pPr>
      <w:r>
        <w:tab/>
      </w:r>
      <w:r w:rsidR="00FD5A16">
        <w:t xml:space="preserve">Subjective norms, as defined in the TPB framework, refer to the perceived social pressure to engage in a particular behaviour. In Langkawi, these norms are shaped by social and cultural influences, including family expectations, peer recommendations, and broader community values (Azman &amp; Majid, 2023; </w:t>
      </w:r>
      <w:proofErr w:type="spellStart"/>
      <w:r w:rsidR="00FD5A16">
        <w:t>Tacardon</w:t>
      </w:r>
      <w:proofErr w:type="spellEnd"/>
      <w:r w:rsidR="00FD5A16">
        <w:t xml:space="preserve"> et al., 2023).</w:t>
      </w:r>
    </w:p>
    <w:p w14:paraId="33A45DBB" w14:textId="77777777" w:rsidR="009F7513" w:rsidRPr="009F7513" w:rsidRDefault="009F7513" w:rsidP="00FD5A16">
      <w:pPr>
        <w:jc w:val="both"/>
        <w:rPr>
          <w:rFonts w:eastAsiaTheme="minorEastAsia"/>
          <w:lang w:eastAsia="zh-CN"/>
        </w:rPr>
      </w:pPr>
    </w:p>
    <w:p w14:paraId="4E7A13FE" w14:textId="6A29433B" w:rsidR="0033260B" w:rsidRDefault="00FD5A16" w:rsidP="00FD5A16">
      <w:pPr>
        <w:ind w:firstLine="720"/>
        <w:jc w:val="both"/>
      </w:pPr>
      <w:r>
        <w:t>For instance, Ab Rashid et al. (2021) highlighted how sustainable food practices and community involvement influence dining choices on the island. These findings are particularly relevant in Langkawi, where the expansion of tourism has brought about shifts in community dynamics and social norms (Nizam Ibrahim et al., 2019). By understanding these social dynamics, restaurant operators can better align their offerings with the expectations and values of local consumers, thereby enhancing their appeal to residents and visitors</w:t>
      </w:r>
      <w:r w:rsidR="0033260B">
        <w:t>.</w:t>
      </w:r>
    </w:p>
    <w:p w14:paraId="75E7DDF6" w14:textId="1B96DF4E" w:rsidR="0033260B" w:rsidRPr="00CC2E71" w:rsidRDefault="0033260B" w:rsidP="0033260B">
      <w:pPr>
        <w:pStyle w:val="Heading2"/>
      </w:pPr>
      <w:r w:rsidRPr="0033260B">
        <w:t>Perceived Behavioural Control</w:t>
      </w:r>
    </w:p>
    <w:p w14:paraId="27DB1A89" w14:textId="024DA15C" w:rsidR="00FD5A16" w:rsidRDefault="0033260B" w:rsidP="00FD5A16">
      <w:pPr>
        <w:jc w:val="both"/>
        <w:rPr>
          <w:rFonts w:eastAsiaTheme="minorEastAsia"/>
          <w:lang w:eastAsia="zh-CN"/>
        </w:rPr>
      </w:pPr>
      <w:r>
        <w:tab/>
      </w:r>
      <w:r w:rsidR="00FD5A16">
        <w:t xml:space="preserve">Perceived </w:t>
      </w:r>
      <w:proofErr w:type="spellStart"/>
      <w:r w:rsidR="00FD5A16">
        <w:t>Behavioral</w:t>
      </w:r>
      <w:proofErr w:type="spellEnd"/>
      <w:r w:rsidR="00FD5A16">
        <w:t xml:space="preserve"> Control (PBC) is a critical component of the TPB framework, reflecting individuals' confidence in their ability to perform a specific behaviour. Langkawi, PBC influences residents' dining choices through factors such as food quality, sustainability practices, and stakeholder engagement (Moon, 2021). For example, Ahmad et al. (2023) emphasised the importance of PBC in encouraging sustainable dining practices, highlighting how individuals' belief in their ability to make environmentally conscious decisions affects their restaurant choices.</w:t>
      </w:r>
    </w:p>
    <w:p w14:paraId="504F770F" w14:textId="77777777" w:rsidR="009F7513" w:rsidRPr="009F7513" w:rsidRDefault="009F7513" w:rsidP="00FD5A16">
      <w:pPr>
        <w:jc w:val="both"/>
        <w:rPr>
          <w:rFonts w:eastAsiaTheme="minorEastAsia"/>
          <w:lang w:eastAsia="zh-CN"/>
        </w:rPr>
      </w:pPr>
    </w:p>
    <w:p w14:paraId="5B3B114A" w14:textId="7520E053" w:rsidR="0033260B" w:rsidRDefault="00FD5A16" w:rsidP="00FD5A16">
      <w:pPr>
        <w:ind w:firstLine="720"/>
        <w:jc w:val="both"/>
      </w:pPr>
      <w:r>
        <w:t>Similarly, Tager et al. (2021) demonstrated that confidence in the quality of dining experiences significantly impacts restaurant patronage intentions. By fostering a sense of control and satisfaction among customers, restaurants can enhance their appeal and encourage repeat visits. Furthermore, community involvement in ecotourism and social sustainability initiatives has strengthened PBC, enabling individuals to make more informed and responsible dining decisions (Elshaer et al., 2023)</w:t>
      </w:r>
      <w:r w:rsidR="0033260B">
        <w:t>.</w:t>
      </w:r>
    </w:p>
    <w:p w14:paraId="04AAD61E" w14:textId="77777777" w:rsidR="0078650B" w:rsidRPr="00CC2E71" w:rsidRDefault="0078650B" w:rsidP="0078650B">
      <w:pPr>
        <w:pStyle w:val="Heading2"/>
      </w:pPr>
      <w:r w:rsidRPr="0078650B">
        <w:t>Study Framework</w:t>
      </w:r>
    </w:p>
    <w:p w14:paraId="28E5020F" w14:textId="27EADD68" w:rsidR="0078650B" w:rsidRDefault="0078650B" w:rsidP="0078650B">
      <w:pPr>
        <w:ind w:firstLine="720"/>
        <w:jc w:val="both"/>
      </w:pPr>
      <w:r w:rsidRPr="0078650B">
        <w:t>This literature review highlights the intricate dynamics shaping restaurant patronage intentions among Langkawi residents, framed through the lens of the Theory of Planned Behaviour. By exploring the interconnected roles of attitudes, subjective norms, and perceived behavioural control, this study offers valuable insights into the factors influencing dining behaviours on the island. While TPB provides a robust foundation, acknowledging complementary constructs like value-based motivations and emotional connections can enrich future research. The study framework (figure 1) demonstrates the critical relevance of TPB in understanding restaurant patronage and offers actionable insights for sustaining local businesses and aligning with Langkawi residents' evolving preferences.</w:t>
      </w:r>
    </w:p>
    <w:p w14:paraId="108551A1" w14:textId="77777777" w:rsidR="00714B3B" w:rsidRDefault="00714B3B" w:rsidP="0078650B">
      <w:pPr>
        <w:ind w:firstLine="720"/>
        <w:jc w:val="both"/>
      </w:pPr>
    </w:p>
    <w:p w14:paraId="43BA1144" w14:textId="77777777" w:rsidR="00714B3B" w:rsidRDefault="00714B3B" w:rsidP="0078650B">
      <w:pPr>
        <w:ind w:firstLine="720"/>
        <w:jc w:val="both"/>
      </w:pPr>
    </w:p>
    <w:p w14:paraId="6BB98446" w14:textId="5A92A708" w:rsidR="0078650B" w:rsidRDefault="0078650B" w:rsidP="0078650B">
      <w:pPr>
        <w:jc w:val="both"/>
      </w:pPr>
      <w:r>
        <w:rPr>
          <w:noProof/>
        </w:rPr>
        <w:drawing>
          <wp:inline distT="0" distB="0" distL="0" distR="0" wp14:anchorId="471EC83B" wp14:editId="0E5F3932">
            <wp:extent cx="5731510" cy="1781175"/>
            <wp:effectExtent l="0" t="0" r="2540" b="9525"/>
            <wp:docPr id="30176330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63306" name="Picture 1" descr="A diagram of a diagram&#10;&#10;Description automatically generated"/>
                    <pic:cNvPicPr/>
                  </pic:nvPicPr>
                  <pic:blipFill rotWithShape="1">
                    <a:blip r:embed="rId8"/>
                    <a:srcRect t="5680" b="5806"/>
                    <a:stretch/>
                  </pic:blipFill>
                  <pic:spPr bwMode="auto">
                    <a:xfrm>
                      <a:off x="0" y="0"/>
                      <a:ext cx="5731510" cy="1781175"/>
                    </a:xfrm>
                    <a:prstGeom prst="rect">
                      <a:avLst/>
                    </a:prstGeom>
                    <a:ln>
                      <a:noFill/>
                    </a:ln>
                    <a:extLst>
                      <a:ext uri="{53640926-AAD7-44D8-BBD7-CCE9431645EC}">
                        <a14:shadowObscured xmlns:a14="http://schemas.microsoft.com/office/drawing/2010/main"/>
                      </a:ext>
                    </a:extLst>
                  </pic:spPr>
                </pic:pic>
              </a:graphicData>
            </a:graphic>
          </wp:inline>
        </w:drawing>
      </w:r>
    </w:p>
    <w:p w14:paraId="3FF2621D" w14:textId="5435264F" w:rsidR="009F7513" w:rsidRDefault="009F7513" w:rsidP="00714B3B">
      <w:pPr>
        <w:tabs>
          <w:tab w:val="left" w:pos="0"/>
        </w:tabs>
        <w:jc w:val="center"/>
        <w:rPr>
          <w:rFonts w:ascii="Arial" w:eastAsiaTheme="minorEastAsia" w:hAnsi="Arial" w:cs="Arial"/>
          <w:b/>
          <w:sz w:val="18"/>
          <w:szCs w:val="18"/>
          <w:lang w:eastAsia="zh-CN"/>
        </w:rPr>
      </w:pPr>
      <w:r>
        <w:rPr>
          <w:rFonts w:ascii="Arial" w:hAnsi="Arial" w:cs="Arial"/>
          <w:b/>
          <w:sz w:val="18"/>
          <w:szCs w:val="18"/>
        </w:rPr>
        <w:t xml:space="preserve">Figure </w:t>
      </w:r>
      <w:r w:rsidRPr="00CF577B">
        <w:rPr>
          <w:rFonts w:ascii="Arial" w:hAnsi="Arial" w:cs="Arial"/>
          <w:b/>
          <w:sz w:val="18"/>
          <w:szCs w:val="18"/>
        </w:rPr>
        <w:t xml:space="preserve">1: </w:t>
      </w:r>
      <w:r>
        <w:rPr>
          <w:rFonts w:ascii="Arial" w:hAnsi="Arial" w:cs="Arial"/>
          <w:b/>
          <w:sz w:val="18"/>
          <w:szCs w:val="18"/>
        </w:rPr>
        <w:t>Study Framework</w:t>
      </w:r>
    </w:p>
    <w:p w14:paraId="1D9F111F" w14:textId="74A5A3FC" w:rsidR="002603D6" w:rsidRPr="00CC2E71" w:rsidRDefault="00FF4ADA" w:rsidP="00A15209">
      <w:pPr>
        <w:pStyle w:val="Heading1"/>
        <w:rPr>
          <w:rFonts w:cs="Arial"/>
        </w:rPr>
      </w:pPr>
      <w:r>
        <w:lastRenderedPageBreak/>
        <w:t>METHODOLOGY</w:t>
      </w:r>
    </w:p>
    <w:p w14:paraId="3471D883" w14:textId="13976719" w:rsidR="00D01B9B" w:rsidRDefault="000830A0" w:rsidP="00D01B9B">
      <w:pPr>
        <w:tabs>
          <w:tab w:val="left" w:pos="0"/>
        </w:tabs>
        <w:jc w:val="both"/>
      </w:pPr>
      <w:bookmarkStart w:id="2" w:name="_Hlk180635971"/>
      <w:bookmarkEnd w:id="1"/>
      <w:r w:rsidRPr="000830A0">
        <w:t>This section outlines the research approach used to investigate factors influencing Langkawi residents’ intentions to patronise local restaurants. It details the research design, data collection methods, sampling techniques, and analysis procedures while justifying the chosen methodology to ensure the validity and reliability of the findings</w:t>
      </w:r>
      <w:r w:rsidR="00D01B9B" w:rsidRPr="00E524FF">
        <w:t>.</w:t>
      </w:r>
    </w:p>
    <w:p w14:paraId="0E8BE4F9" w14:textId="77777777" w:rsidR="00D01B9B" w:rsidRPr="00CC2E71" w:rsidRDefault="00D01B9B" w:rsidP="00D01B9B">
      <w:pPr>
        <w:pStyle w:val="Heading2"/>
      </w:pPr>
      <w:r w:rsidRPr="00FF4ADA">
        <w:t>Re</w:t>
      </w:r>
      <w:r>
        <w:t>s</w:t>
      </w:r>
      <w:r w:rsidRPr="00FF4ADA">
        <w:t>earch Design</w:t>
      </w:r>
    </w:p>
    <w:p w14:paraId="27DBCD98" w14:textId="34B7833D" w:rsidR="00D01B9B" w:rsidRDefault="00D01B9B" w:rsidP="00D01B9B">
      <w:pPr>
        <w:jc w:val="both"/>
      </w:pPr>
      <w:r>
        <w:tab/>
      </w:r>
      <w:r w:rsidR="0078650B" w:rsidRPr="0078650B">
        <w:t>This study employed a quantitative research design to explore the relationship between the Theory of Planned Behaviour (TPB) constructs—attitudes, subjective norms, and perceived behavioural control—and Langkawi residents' restaurant patronage intentions. Data were collected using structured online questionnaires deemed suitable for reaching a broad audience efficiently in a post-pandemic context. The exclusive focus on Langkawi residents ensured the findings were specific to the local community and excluded tourists, whose short-term dining preferences may not align with the study's objectives.</w:t>
      </w:r>
    </w:p>
    <w:p w14:paraId="366B0F58" w14:textId="77777777" w:rsidR="00D01B9B" w:rsidRPr="00906BF9" w:rsidRDefault="00D01B9B" w:rsidP="00D01B9B">
      <w:pPr>
        <w:pStyle w:val="Heading2"/>
      </w:pPr>
      <w:r w:rsidRPr="00906BF9">
        <w:t>Population and Sample</w:t>
      </w:r>
    </w:p>
    <w:p w14:paraId="4438759D" w14:textId="0BBEBD5E" w:rsidR="00D01B9B" w:rsidRPr="00906BF9" w:rsidRDefault="00D01B9B" w:rsidP="00D01B9B">
      <w:pPr>
        <w:jc w:val="both"/>
      </w:pPr>
      <w:r w:rsidRPr="00906BF9">
        <w:tab/>
      </w:r>
      <w:r w:rsidR="0078650B" w:rsidRPr="00906BF9">
        <w:t xml:space="preserve">The target population consisted of residents of Langkawi, an area with an estimated population of 111,500 (Department of Statistics Malaysia, 2020). Convenience sampling was used to select participants, offering practicality in data collection. While this approach may introduce sampling bias, efforts were made to minimise its impact by distributing the questionnaire across diverse social media platforms to reach a varied demographic. The final sample size of 188 respondents was determined using </w:t>
      </w:r>
      <w:proofErr w:type="spellStart"/>
      <w:r w:rsidR="0078650B" w:rsidRPr="00906BF9">
        <w:t>Raosoft</w:t>
      </w:r>
      <w:proofErr w:type="spellEnd"/>
      <w:r w:rsidR="0078650B" w:rsidRPr="00906BF9">
        <w:t xml:space="preserve"> software, ensuring a 95% confidence level with a 5% margin of error. This sample size was adequate to achieve statistical reliability. However, the use of convenience sampling may limit the generalizability of the findings.</w:t>
      </w:r>
    </w:p>
    <w:p w14:paraId="4504EF49" w14:textId="2F42C95F" w:rsidR="00D01B9B" w:rsidRPr="00906BF9" w:rsidRDefault="00D01B9B" w:rsidP="00D01B9B">
      <w:pPr>
        <w:pStyle w:val="Heading2"/>
      </w:pPr>
      <w:r w:rsidRPr="00906BF9">
        <w:t>Data Collection</w:t>
      </w:r>
    </w:p>
    <w:p w14:paraId="695CA8E5" w14:textId="5FDD3451" w:rsidR="00D01B9B" w:rsidRPr="00906BF9" w:rsidRDefault="00D01B9B" w:rsidP="00D01B9B">
      <w:pPr>
        <w:jc w:val="both"/>
      </w:pPr>
      <w:r w:rsidRPr="00906BF9">
        <w:tab/>
      </w:r>
      <w:r w:rsidR="0078650B" w:rsidRPr="00906BF9">
        <w:t>Data collection involved online surveys distributed via social media and QR code links. Participants were informed about the study’s objectives, and their anonymity and confidentiality were ensured. Screening questions at the beginning of the survey verified that participants were Langkawi residents, excluding tourists from the study. This exclusion was a deliberate decision to maintain the focus on local dining behaviours, ensuring the results were relevant for local restaurant operators and policymakers.</w:t>
      </w:r>
    </w:p>
    <w:p w14:paraId="22C8502E" w14:textId="1A3DA5EF" w:rsidR="00D01B9B" w:rsidRPr="00906BF9" w:rsidRDefault="00D01B9B" w:rsidP="00D01B9B">
      <w:pPr>
        <w:pStyle w:val="Heading2"/>
      </w:pPr>
      <w:r w:rsidRPr="00906BF9">
        <w:t>Survey Instrument</w:t>
      </w:r>
    </w:p>
    <w:p w14:paraId="79B8B944" w14:textId="132D0333" w:rsidR="00D01B9B" w:rsidRPr="00906BF9" w:rsidRDefault="00D01B9B" w:rsidP="00D01B9B">
      <w:pPr>
        <w:jc w:val="both"/>
      </w:pPr>
      <w:r w:rsidRPr="00906BF9">
        <w:tab/>
      </w:r>
      <w:r w:rsidR="0078650B" w:rsidRPr="00906BF9">
        <w:t>The survey instrument was structured into five sections: demographics, attitudes, subjective norms, perceived behavioural control, and patronage intentions. Demographic data contextualised the responses, while Likert-scale questions captured participants' evaluations of local restaurants. Subjective norms assessed the influence of family and social pressures, and perceived behavioural control examined external barriers like affordability and accessibility. Patronage intentions were measured to evaluate the likelihood of supporting local restaurants.</w:t>
      </w:r>
    </w:p>
    <w:p w14:paraId="4386D018" w14:textId="77777777" w:rsidR="00DA6609" w:rsidRPr="00906BF9" w:rsidRDefault="00DA6609" w:rsidP="00DA6609">
      <w:pPr>
        <w:pStyle w:val="Heading2"/>
      </w:pPr>
      <w:r w:rsidRPr="00906BF9">
        <w:t>Data Analysis</w:t>
      </w:r>
    </w:p>
    <w:p w14:paraId="25EA0D34" w14:textId="77777777" w:rsidR="00DA6609" w:rsidRPr="00906BF9" w:rsidRDefault="00DA6609" w:rsidP="00DA6609">
      <w:pPr>
        <w:jc w:val="both"/>
      </w:pPr>
      <w:r w:rsidRPr="00906BF9">
        <w:tab/>
        <w:t xml:space="preserve">The data were analysed using descriptive and inferential statistics to explore trends and relationships within the TPB framework. Descriptive statistics summarised demographic data and overall patterns, while inferential statistics tested the hypothesised relationships among the constructs. The analysis was conducted using SPSS version 29, ensuring accurate and efficient data processing. </w:t>
      </w:r>
      <w:r w:rsidRPr="00906BF9">
        <w:lastRenderedPageBreak/>
        <w:t>Although convenience sampling introduces limitations, the study's methodology ensures robust insights into the dining behaviours of Langkawi residents.</w:t>
      </w:r>
    </w:p>
    <w:p w14:paraId="3EA86DA0" w14:textId="566883A4" w:rsidR="00D01B9B" w:rsidRPr="00906BF9" w:rsidRDefault="00D01B9B" w:rsidP="00D01B9B">
      <w:pPr>
        <w:pStyle w:val="Heading2"/>
      </w:pPr>
      <w:r w:rsidRPr="00906BF9">
        <w:t>Pilot Study</w:t>
      </w:r>
    </w:p>
    <w:p w14:paraId="0152B661" w14:textId="04C2DACB" w:rsidR="00FF4ADA" w:rsidRDefault="00D01B9B" w:rsidP="00D01B9B">
      <w:pPr>
        <w:jc w:val="both"/>
      </w:pPr>
      <w:r w:rsidRPr="00906BF9">
        <w:tab/>
        <w:t xml:space="preserve">A pilot study was </w:t>
      </w:r>
      <w:r w:rsidR="00177581" w:rsidRPr="00906BF9">
        <w:t>conducted,</w:t>
      </w:r>
      <w:r w:rsidRPr="00906BF9">
        <w:t xml:space="preserve"> and the data were analysed using Cronbach’s Alpha values. Table 1 presents the results of a reliability test using Cronbach’s Alpha for four constructs related to restaurant patronage intentions: Attitudes, subjective norms, Perceived Behaviour, and Patronize Intention. All</w:t>
      </w:r>
      <w:r w:rsidRPr="00CA5023">
        <w:t xml:space="preserve"> constructs exhibit high reliability, with Cronbach’s Alpha values ranging from 0.902 to 0.978, indicating strong internal consistency across their respective items. These values suggest that the survey items for each construct—</w:t>
      </w:r>
      <w:r>
        <w:t>A</w:t>
      </w:r>
      <w:r w:rsidRPr="00CA5023">
        <w:t xml:space="preserve">ttitudes (10 items), </w:t>
      </w:r>
      <w:r>
        <w:t>s</w:t>
      </w:r>
      <w:r w:rsidRPr="00CA5023">
        <w:t xml:space="preserve">ubjective </w:t>
      </w:r>
      <w:r>
        <w:t>n</w:t>
      </w:r>
      <w:r w:rsidRPr="00CA5023">
        <w:t xml:space="preserve">orms (9 items), </w:t>
      </w:r>
      <w:r>
        <w:t>P</w:t>
      </w:r>
      <w:r w:rsidRPr="00CA5023">
        <w:t xml:space="preserve">erceived </w:t>
      </w:r>
      <w:r>
        <w:t>B</w:t>
      </w:r>
      <w:r w:rsidRPr="00CA5023">
        <w:t xml:space="preserve">ehaviour (8 items), and </w:t>
      </w:r>
      <w:r>
        <w:t>P</w:t>
      </w:r>
      <w:r w:rsidRPr="00CA5023">
        <w:t xml:space="preserve">atronize </w:t>
      </w:r>
      <w:r>
        <w:t>I</w:t>
      </w:r>
      <w:r w:rsidRPr="00CA5023">
        <w:t>ntention (7 items)—are reliable for measuring factors influencing restaurant visit intentions among Langkawi residents</w:t>
      </w:r>
      <w:r w:rsidR="00CA5023" w:rsidRPr="00CA5023">
        <w:t>.</w:t>
      </w:r>
    </w:p>
    <w:p w14:paraId="5BA1CF4F" w14:textId="7C76C8D0" w:rsidR="00CA5023" w:rsidRDefault="00CA5023" w:rsidP="00A71A2B">
      <w:pPr>
        <w:tabs>
          <w:tab w:val="left" w:pos="0"/>
        </w:tabs>
        <w:jc w:val="both"/>
      </w:pPr>
    </w:p>
    <w:p w14:paraId="7CC92C58" w14:textId="08F10394" w:rsidR="009B4DEF" w:rsidRDefault="009B4DEF" w:rsidP="009B4DEF">
      <w:pPr>
        <w:tabs>
          <w:tab w:val="left" w:pos="0"/>
        </w:tabs>
        <w:jc w:val="center"/>
        <w:rPr>
          <w:rFonts w:ascii="Arial" w:hAnsi="Arial" w:cs="Arial"/>
          <w:b/>
          <w:sz w:val="18"/>
          <w:szCs w:val="18"/>
        </w:rPr>
      </w:pPr>
      <w:r w:rsidRPr="00E07BE3">
        <w:rPr>
          <w:rFonts w:ascii="Arial" w:hAnsi="Arial" w:cs="Arial"/>
          <w:b/>
          <w:sz w:val="18"/>
          <w:szCs w:val="18"/>
        </w:rPr>
        <w:t xml:space="preserve">Table </w:t>
      </w:r>
      <w:r>
        <w:rPr>
          <w:rFonts w:ascii="Arial" w:hAnsi="Arial" w:cs="Arial"/>
          <w:b/>
          <w:sz w:val="18"/>
          <w:szCs w:val="18"/>
        </w:rPr>
        <w:t>1</w:t>
      </w:r>
      <w:r w:rsidRPr="00E07BE3">
        <w:rPr>
          <w:rFonts w:ascii="Arial" w:hAnsi="Arial" w:cs="Arial"/>
          <w:b/>
          <w:sz w:val="18"/>
          <w:szCs w:val="18"/>
        </w:rPr>
        <w:t xml:space="preserve">: </w:t>
      </w:r>
      <w:r w:rsidRPr="009B4DEF">
        <w:rPr>
          <w:rFonts w:ascii="Arial" w:hAnsi="Arial" w:cs="Arial"/>
          <w:b/>
          <w:sz w:val="18"/>
          <w:szCs w:val="18"/>
        </w:rPr>
        <w:t>Reliability Test</w:t>
      </w:r>
      <w:r w:rsidRPr="00E07BE3">
        <w:rPr>
          <w:rFonts w:ascii="Arial" w:hAnsi="Arial" w:cs="Arial"/>
          <w:b/>
          <w:sz w:val="18"/>
          <w:szCs w:val="18"/>
        </w:rPr>
        <w:t xml:space="preserve"> </w:t>
      </w:r>
    </w:p>
    <w:p w14:paraId="2122EE5A" w14:textId="77777777" w:rsidR="00735566" w:rsidRPr="00E07BE3" w:rsidRDefault="00735566" w:rsidP="009B4DEF">
      <w:pPr>
        <w:tabs>
          <w:tab w:val="left" w:pos="0"/>
        </w:tabs>
        <w:jc w:val="center"/>
        <w:rPr>
          <w:rFonts w:ascii="Arial" w:hAnsi="Arial" w:cs="Arial"/>
          <w:b/>
          <w:sz w:val="18"/>
          <w:szCs w:val="18"/>
        </w:rPr>
      </w:pPr>
    </w:p>
    <w:tbl>
      <w:tblPr>
        <w:tblW w:w="6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268"/>
        <w:gridCol w:w="1752"/>
      </w:tblGrid>
      <w:tr w:rsidR="004916F2" w14:paraId="1651628E" w14:textId="77777777" w:rsidTr="00243AF9">
        <w:trPr>
          <w:trHeight w:val="58"/>
          <w:jc w:val="center"/>
        </w:trPr>
        <w:tc>
          <w:tcPr>
            <w:tcW w:w="2410" w:type="dxa"/>
          </w:tcPr>
          <w:p w14:paraId="1C54191C" w14:textId="77777777" w:rsidR="004916F2" w:rsidRPr="00D37C32" w:rsidRDefault="004916F2" w:rsidP="00771613">
            <w:pPr>
              <w:pStyle w:val="TableParagraph"/>
              <w:spacing w:before="21" w:line="227" w:lineRule="exact"/>
              <w:ind w:left="70"/>
              <w:rPr>
                <w:b/>
                <w:sz w:val="18"/>
                <w:szCs w:val="18"/>
              </w:rPr>
            </w:pPr>
            <w:r w:rsidRPr="00D37C32">
              <w:rPr>
                <w:b/>
                <w:spacing w:val="-2"/>
                <w:sz w:val="18"/>
                <w:szCs w:val="18"/>
              </w:rPr>
              <w:t>Constructs</w:t>
            </w:r>
          </w:p>
        </w:tc>
        <w:tc>
          <w:tcPr>
            <w:tcW w:w="2268" w:type="dxa"/>
          </w:tcPr>
          <w:p w14:paraId="6153FB18" w14:textId="77777777" w:rsidR="004916F2" w:rsidRPr="00D37C32" w:rsidRDefault="004916F2" w:rsidP="00243AF9">
            <w:pPr>
              <w:pStyle w:val="TableParagraph"/>
              <w:spacing w:before="21" w:line="227" w:lineRule="exact"/>
              <w:ind w:left="141"/>
              <w:jc w:val="center"/>
              <w:rPr>
                <w:b/>
                <w:sz w:val="18"/>
                <w:szCs w:val="18"/>
              </w:rPr>
            </w:pPr>
            <w:r w:rsidRPr="00D37C32">
              <w:rPr>
                <w:b/>
                <w:spacing w:val="-2"/>
                <w:sz w:val="18"/>
                <w:szCs w:val="18"/>
              </w:rPr>
              <w:t>Cronbach’s</w:t>
            </w:r>
            <w:r w:rsidRPr="00D37C32">
              <w:rPr>
                <w:b/>
                <w:spacing w:val="4"/>
                <w:sz w:val="18"/>
                <w:szCs w:val="18"/>
              </w:rPr>
              <w:t xml:space="preserve"> </w:t>
            </w:r>
            <w:r w:rsidRPr="00D37C32">
              <w:rPr>
                <w:b/>
                <w:spacing w:val="-2"/>
                <w:sz w:val="18"/>
                <w:szCs w:val="18"/>
              </w:rPr>
              <w:t>Alpha</w:t>
            </w:r>
          </w:p>
        </w:tc>
        <w:tc>
          <w:tcPr>
            <w:tcW w:w="1752" w:type="dxa"/>
          </w:tcPr>
          <w:p w14:paraId="6DD4C333" w14:textId="77777777" w:rsidR="004916F2" w:rsidRPr="00D37C32" w:rsidRDefault="004916F2" w:rsidP="00243AF9">
            <w:pPr>
              <w:pStyle w:val="TableParagraph"/>
              <w:spacing w:before="21" w:line="227" w:lineRule="exact"/>
              <w:jc w:val="center"/>
              <w:rPr>
                <w:b/>
                <w:sz w:val="18"/>
                <w:szCs w:val="18"/>
              </w:rPr>
            </w:pPr>
            <w:r w:rsidRPr="00D37C32">
              <w:rPr>
                <w:b/>
                <w:sz w:val="18"/>
                <w:szCs w:val="18"/>
              </w:rPr>
              <w:t>No.</w:t>
            </w:r>
            <w:r w:rsidRPr="00D37C32">
              <w:rPr>
                <w:b/>
                <w:spacing w:val="-4"/>
                <w:sz w:val="18"/>
                <w:szCs w:val="18"/>
              </w:rPr>
              <w:t xml:space="preserve"> </w:t>
            </w:r>
            <w:r w:rsidRPr="00D37C32">
              <w:rPr>
                <w:b/>
                <w:sz w:val="18"/>
                <w:szCs w:val="18"/>
              </w:rPr>
              <w:t>of</w:t>
            </w:r>
            <w:r w:rsidRPr="00D37C32">
              <w:rPr>
                <w:b/>
                <w:spacing w:val="-2"/>
                <w:sz w:val="18"/>
                <w:szCs w:val="18"/>
              </w:rPr>
              <w:t xml:space="preserve"> Items</w:t>
            </w:r>
          </w:p>
        </w:tc>
      </w:tr>
      <w:tr w:rsidR="004916F2" w14:paraId="4EB43396" w14:textId="77777777" w:rsidTr="00243AF9">
        <w:trPr>
          <w:trHeight w:val="58"/>
          <w:jc w:val="center"/>
        </w:trPr>
        <w:tc>
          <w:tcPr>
            <w:tcW w:w="2410" w:type="dxa"/>
          </w:tcPr>
          <w:p w14:paraId="4B3EB222" w14:textId="5F715BE4" w:rsidR="004916F2" w:rsidRPr="00D37C32" w:rsidRDefault="00243AF9" w:rsidP="00243AF9">
            <w:pPr>
              <w:pStyle w:val="TableParagraph"/>
              <w:spacing w:before="21"/>
              <w:rPr>
                <w:sz w:val="18"/>
                <w:szCs w:val="18"/>
              </w:rPr>
            </w:pPr>
            <w:r>
              <w:rPr>
                <w:spacing w:val="-2"/>
                <w:sz w:val="18"/>
                <w:szCs w:val="18"/>
              </w:rPr>
              <w:t xml:space="preserve"> </w:t>
            </w:r>
            <w:r w:rsidR="004916F2" w:rsidRPr="00D37C32">
              <w:rPr>
                <w:spacing w:val="-2"/>
                <w:sz w:val="18"/>
                <w:szCs w:val="18"/>
              </w:rPr>
              <w:t>Attitudes</w:t>
            </w:r>
          </w:p>
        </w:tc>
        <w:tc>
          <w:tcPr>
            <w:tcW w:w="2268" w:type="dxa"/>
          </w:tcPr>
          <w:p w14:paraId="3F44A64E" w14:textId="77777777" w:rsidR="004916F2" w:rsidRPr="00D37C32" w:rsidRDefault="004916F2" w:rsidP="00243AF9">
            <w:pPr>
              <w:pStyle w:val="TableParagraph"/>
              <w:spacing w:before="21"/>
              <w:ind w:right="36"/>
              <w:jc w:val="center"/>
              <w:rPr>
                <w:sz w:val="18"/>
                <w:szCs w:val="18"/>
              </w:rPr>
            </w:pPr>
            <w:r w:rsidRPr="00D37C32">
              <w:rPr>
                <w:spacing w:val="-2"/>
                <w:sz w:val="18"/>
                <w:szCs w:val="18"/>
              </w:rPr>
              <w:t>0.978</w:t>
            </w:r>
          </w:p>
        </w:tc>
        <w:tc>
          <w:tcPr>
            <w:tcW w:w="1752" w:type="dxa"/>
          </w:tcPr>
          <w:p w14:paraId="47ACE403" w14:textId="77777777" w:rsidR="004916F2" w:rsidRPr="00D37C32" w:rsidRDefault="004916F2" w:rsidP="00243AF9">
            <w:pPr>
              <w:pStyle w:val="TableParagraph"/>
              <w:spacing w:before="21"/>
              <w:jc w:val="center"/>
              <w:rPr>
                <w:sz w:val="18"/>
                <w:szCs w:val="18"/>
              </w:rPr>
            </w:pPr>
            <w:r w:rsidRPr="00D37C32">
              <w:rPr>
                <w:spacing w:val="-5"/>
                <w:sz w:val="18"/>
                <w:szCs w:val="18"/>
              </w:rPr>
              <w:t>10</w:t>
            </w:r>
          </w:p>
        </w:tc>
      </w:tr>
      <w:tr w:rsidR="004916F2" w14:paraId="31DA2DA0" w14:textId="77777777" w:rsidTr="00243AF9">
        <w:trPr>
          <w:trHeight w:val="268"/>
          <w:jc w:val="center"/>
        </w:trPr>
        <w:tc>
          <w:tcPr>
            <w:tcW w:w="2410" w:type="dxa"/>
          </w:tcPr>
          <w:p w14:paraId="722BDBEE" w14:textId="02BEE028" w:rsidR="004916F2" w:rsidRPr="00D37C32" w:rsidRDefault="00D37C32" w:rsidP="00D37C32">
            <w:pPr>
              <w:pStyle w:val="TableParagraph"/>
              <w:spacing w:before="21" w:line="227" w:lineRule="exact"/>
              <w:rPr>
                <w:sz w:val="18"/>
                <w:szCs w:val="18"/>
              </w:rPr>
            </w:pPr>
            <w:r>
              <w:rPr>
                <w:sz w:val="18"/>
                <w:szCs w:val="18"/>
              </w:rPr>
              <w:t xml:space="preserve"> </w:t>
            </w:r>
            <w:r w:rsidR="004916F2" w:rsidRPr="00D37C32">
              <w:rPr>
                <w:sz w:val="18"/>
                <w:szCs w:val="18"/>
              </w:rPr>
              <w:t>Subjective</w:t>
            </w:r>
            <w:r w:rsidR="004916F2" w:rsidRPr="00D37C32">
              <w:rPr>
                <w:spacing w:val="-13"/>
                <w:sz w:val="18"/>
                <w:szCs w:val="18"/>
              </w:rPr>
              <w:t xml:space="preserve"> </w:t>
            </w:r>
            <w:r w:rsidR="004916F2" w:rsidRPr="00D37C32">
              <w:rPr>
                <w:spacing w:val="-2"/>
                <w:sz w:val="18"/>
                <w:szCs w:val="18"/>
              </w:rPr>
              <w:t>Norms</w:t>
            </w:r>
          </w:p>
        </w:tc>
        <w:tc>
          <w:tcPr>
            <w:tcW w:w="2268" w:type="dxa"/>
          </w:tcPr>
          <w:p w14:paraId="17A11C85" w14:textId="77777777" w:rsidR="004916F2" w:rsidRPr="00D37C32" w:rsidRDefault="004916F2" w:rsidP="00243AF9">
            <w:pPr>
              <w:pStyle w:val="TableParagraph"/>
              <w:spacing w:before="21" w:line="227" w:lineRule="exact"/>
              <w:ind w:right="5"/>
              <w:jc w:val="center"/>
              <w:rPr>
                <w:sz w:val="18"/>
                <w:szCs w:val="18"/>
              </w:rPr>
            </w:pPr>
            <w:r w:rsidRPr="00D37C32">
              <w:rPr>
                <w:spacing w:val="-2"/>
                <w:sz w:val="18"/>
                <w:szCs w:val="18"/>
              </w:rPr>
              <w:t>0.922</w:t>
            </w:r>
          </w:p>
        </w:tc>
        <w:tc>
          <w:tcPr>
            <w:tcW w:w="1752" w:type="dxa"/>
          </w:tcPr>
          <w:p w14:paraId="1ACFD2E4" w14:textId="77777777" w:rsidR="004916F2" w:rsidRPr="00D37C32" w:rsidRDefault="004916F2" w:rsidP="00243AF9">
            <w:pPr>
              <w:pStyle w:val="TableParagraph"/>
              <w:spacing w:before="21" w:line="227" w:lineRule="exact"/>
              <w:jc w:val="center"/>
              <w:rPr>
                <w:sz w:val="18"/>
                <w:szCs w:val="18"/>
              </w:rPr>
            </w:pPr>
            <w:r w:rsidRPr="00D37C32">
              <w:rPr>
                <w:spacing w:val="-10"/>
                <w:sz w:val="18"/>
                <w:szCs w:val="18"/>
              </w:rPr>
              <w:t>9</w:t>
            </w:r>
          </w:p>
        </w:tc>
      </w:tr>
      <w:tr w:rsidR="004916F2" w14:paraId="71025393" w14:textId="77777777" w:rsidTr="00243AF9">
        <w:trPr>
          <w:trHeight w:val="58"/>
          <w:jc w:val="center"/>
        </w:trPr>
        <w:tc>
          <w:tcPr>
            <w:tcW w:w="2410" w:type="dxa"/>
          </w:tcPr>
          <w:p w14:paraId="1A1520D4" w14:textId="6FAA1A9F" w:rsidR="004916F2" w:rsidRPr="00D37C32" w:rsidRDefault="00243AF9" w:rsidP="00243AF9">
            <w:pPr>
              <w:pStyle w:val="TableParagraph"/>
              <w:spacing w:before="21"/>
              <w:rPr>
                <w:sz w:val="18"/>
                <w:szCs w:val="18"/>
              </w:rPr>
            </w:pPr>
            <w:r>
              <w:rPr>
                <w:sz w:val="18"/>
                <w:szCs w:val="18"/>
              </w:rPr>
              <w:t xml:space="preserve"> </w:t>
            </w:r>
            <w:r w:rsidR="004916F2" w:rsidRPr="00D37C32">
              <w:rPr>
                <w:sz w:val="18"/>
                <w:szCs w:val="18"/>
              </w:rPr>
              <w:t>Perceived</w:t>
            </w:r>
            <w:r w:rsidR="004916F2" w:rsidRPr="00D37C32">
              <w:rPr>
                <w:spacing w:val="-9"/>
                <w:sz w:val="18"/>
                <w:szCs w:val="18"/>
              </w:rPr>
              <w:t xml:space="preserve"> </w:t>
            </w:r>
            <w:r w:rsidR="004916F2" w:rsidRPr="00D37C32">
              <w:rPr>
                <w:spacing w:val="-2"/>
                <w:sz w:val="18"/>
                <w:szCs w:val="18"/>
              </w:rPr>
              <w:t>Behavior</w:t>
            </w:r>
          </w:p>
        </w:tc>
        <w:tc>
          <w:tcPr>
            <w:tcW w:w="2268" w:type="dxa"/>
          </w:tcPr>
          <w:p w14:paraId="3799265B" w14:textId="77777777" w:rsidR="004916F2" w:rsidRPr="00D37C32" w:rsidRDefault="004916F2" w:rsidP="00243AF9">
            <w:pPr>
              <w:pStyle w:val="TableParagraph"/>
              <w:spacing w:before="21"/>
              <w:jc w:val="center"/>
              <w:rPr>
                <w:sz w:val="18"/>
                <w:szCs w:val="18"/>
              </w:rPr>
            </w:pPr>
            <w:r w:rsidRPr="00D37C32">
              <w:rPr>
                <w:spacing w:val="-2"/>
                <w:sz w:val="18"/>
                <w:szCs w:val="18"/>
              </w:rPr>
              <w:t>0.902</w:t>
            </w:r>
          </w:p>
        </w:tc>
        <w:tc>
          <w:tcPr>
            <w:tcW w:w="1752" w:type="dxa"/>
          </w:tcPr>
          <w:p w14:paraId="09613386" w14:textId="77777777" w:rsidR="004916F2" w:rsidRPr="00D37C32" w:rsidRDefault="004916F2" w:rsidP="00243AF9">
            <w:pPr>
              <w:pStyle w:val="TableParagraph"/>
              <w:spacing w:before="21"/>
              <w:jc w:val="center"/>
              <w:rPr>
                <w:sz w:val="18"/>
                <w:szCs w:val="18"/>
              </w:rPr>
            </w:pPr>
            <w:r w:rsidRPr="00D37C32">
              <w:rPr>
                <w:spacing w:val="-10"/>
                <w:sz w:val="18"/>
                <w:szCs w:val="18"/>
              </w:rPr>
              <w:t>8</w:t>
            </w:r>
          </w:p>
        </w:tc>
      </w:tr>
      <w:tr w:rsidR="004916F2" w14:paraId="7F681E82" w14:textId="77777777" w:rsidTr="00243AF9">
        <w:trPr>
          <w:trHeight w:val="58"/>
          <w:jc w:val="center"/>
        </w:trPr>
        <w:tc>
          <w:tcPr>
            <w:tcW w:w="2410" w:type="dxa"/>
          </w:tcPr>
          <w:p w14:paraId="014D1B94" w14:textId="6BCC3987" w:rsidR="004916F2" w:rsidRPr="00D37C32" w:rsidRDefault="00243AF9" w:rsidP="00243AF9">
            <w:pPr>
              <w:pStyle w:val="TableParagraph"/>
              <w:spacing w:before="18" w:line="214" w:lineRule="exact"/>
              <w:rPr>
                <w:sz w:val="18"/>
                <w:szCs w:val="18"/>
              </w:rPr>
            </w:pPr>
            <w:r>
              <w:rPr>
                <w:sz w:val="18"/>
                <w:szCs w:val="18"/>
              </w:rPr>
              <w:t xml:space="preserve"> </w:t>
            </w:r>
            <w:r w:rsidR="004916F2" w:rsidRPr="00D37C32">
              <w:rPr>
                <w:sz w:val="18"/>
                <w:szCs w:val="18"/>
              </w:rPr>
              <w:t>Patronize</w:t>
            </w:r>
            <w:r w:rsidR="004916F2" w:rsidRPr="00D37C32">
              <w:rPr>
                <w:spacing w:val="-13"/>
                <w:sz w:val="18"/>
                <w:szCs w:val="18"/>
              </w:rPr>
              <w:t xml:space="preserve"> </w:t>
            </w:r>
            <w:r w:rsidR="004916F2" w:rsidRPr="00D37C32">
              <w:rPr>
                <w:spacing w:val="-2"/>
                <w:sz w:val="18"/>
                <w:szCs w:val="18"/>
              </w:rPr>
              <w:t>Intention</w:t>
            </w:r>
          </w:p>
        </w:tc>
        <w:tc>
          <w:tcPr>
            <w:tcW w:w="2268" w:type="dxa"/>
          </w:tcPr>
          <w:p w14:paraId="0627A2E8" w14:textId="77777777" w:rsidR="004916F2" w:rsidRPr="00D37C32" w:rsidRDefault="004916F2" w:rsidP="00243AF9">
            <w:pPr>
              <w:pStyle w:val="TableParagraph"/>
              <w:spacing w:before="18" w:line="214" w:lineRule="exact"/>
              <w:ind w:right="26"/>
              <w:jc w:val="center"/>
              <w:rPr>
                <w:sz w:val="18"/>
                <w:szCs w:val="18"/>
              </w:rPr>
            </w:pPr>
            <w:r w:rsidRPr="00D37C32">
              <w:rPr>
                <w:spacing w:val="-2"/>
                <w:sz w:val="18"/>
                <w:szCs w:val="18"/>
              </w:rPr>
              <w:t>0.952</w:t>
            </w:r>
          </w:p>
        </w:tc>
        <w:tc>
          <w:tcPr>
            <w:tcW w:w="1752" w:type="dxa"/>
          </w:tcPr>
          <w:p w14:paraId="39A16338" w14:textId="77777777" w:rsidR="004916F2" w:rsidRPr="00D37C32" w:rsidRDefault="004916F2" w:rsidP="00243AF9">
            <w:pPr>
              <w:pStyle w:val="TableParagraph"/>
              <w:spacing w:before="18" w:line="214" w:lineRule="exact"/>
              <w:jc w:val="center"/>
              <w:rPr>
                <w:sz w:val="18"/>
                <w:szCs w:val="18"/>
              </w:rPr>
            </w:pPr>
            <w:r w:rsidRPr="00D37C32">
              <w:rPr>
                <w:spacing w:val="-10"/>
                <w:sz w:val="18"/>
                <w:szCs w:val="18"/>
              </w:rPr>
              <w:t>7</w:t>
            </w:r>
          </w:p>
        </w:tc>
      </w:tr>
      <w:bookmarkEnd w:id="2"/>
    </w:tbl>
    <w:p w14:paraId="6544E654" w14:textId="6786875E" w:rsidR="00CE25B1" w:rsidRDefault="00CE25B1" w:rsidP="00CE25B1">
      <w:pPr>
        <w:pStyle w:val="ListParagraph"/>
        <w:tabs>
          <w:tab w:val="left" w:pos="270"/>
        </w:tabs>
        <w:spacing w:after="0" w:line="240" w:lineRule="auto"/>
        <w:ind w:left="0"/>
        <w:jc w:val="both"/>
        <w:rPr>
          <w:rFonts w:ascii="Times New Roman" w:eastAsia="Times New Roman" w:hAnsi="Times New Roman"/>
          <w:lang w:val="en-US"/>
        </w:rPr>
      </w:pPr>
    </w:p>
    <w:p w14:paraId="622F7B7F" w14:textId="1276857E" w:rsidR="00FF4ADA" w:rsidRPr="00CC2E71" w:rsidRDefault="008364EB" w:rsidP="00FF4ADA">
      <w:pPr>
        <w:pStyle w:val="Heading1"/>
        <w:rPr>
          <w:rFonts w:cs="Arial"/>
        </w:rPr>
      </w:pPr>
      <w:bookmarkStart w:id="3" w:name="_Hlk180636503"/>
      <w:r>
        <w:t>RESULT</w:t>
      </w:r>
    </w:p>
    <w:p w14:paraId="545B0EC0" w14:textId="7D11DBC7" w:rsidR="00243AF9" w:rsidRDefault="000830A0" w:rsidP="00FF4ADA">
      <w:pPr>
        <w:tabs>
          <w:tab w:val="left" w:pos="0"/>
        </w:tabs>
        <w:jc w:val="both"/>
      </w:pPr>
      <w:r w:rsidRPr="000830A0">
        <w:t>The study focuses on factors influencing Langkawi residents’ intentions to patronise local restaurants as the primary unit of analysis. Utilising a quantitative research design with structured questionnaires, the study evaluated the factors influencing attitudes, Subjective Norms and perceived behaviour to patronise local restaurants. The result highlights the factors influencing Langkawi residents to patronize local restaurants</w:t>
      </w:r>
      <w:r w:rsidR="00FF4ADA">
        <w:t>.</w:t>
      </w:r>
    </w:p>
    <w:p w14:paraId="160706E5" w14:textId="77C7E0A9" w:rsidR="00FF4ADA" w:rsidRDefault="004916F2" w:rsidP="00FF4ADA">
      <w:pPr>
        <w:pStyle w:val="Heading2"/>
      </w:pPr>
      <w:r w:rsidRPr="004916F2">
        <w:t>Demographic Profiles</w:t>
      </w:r>
    </w:p>
    <w:p w14:paraId="3A5E47CC" w14:textId="77777777" w:rsidR="00243AF9" w:rsidRPr="0064705B" w:rsidRDefault="00243AF9" w:rsidP="00243AF9">
      <w:pPr>
        <w:ind w:firstLine="720"/>
        <w:jc w:val="both"/>
      </w:pPr>
      <w:r w:rsidRPr="00705629">
        <w:t xml:space="preserve">The demographic profiles of the respondents, as summarised in Table 2, indicate that the sample comprised 60.1% females and 39.9% males, with the majority (35.6%) aged between 25–34 years. Most </w:t>
      </w:r>
      <w:r w:rsidRPr="00CB591F">
        <w:t>respondents reported monthly incomes of RM 2,000 or below (54.3%), reflecting the socioeconomic characteristics of the population. These findings provide essential context for understanding local dining preferences and align with the study’s objective of exploring behavioural determinants in a key demographic segment.</w:t>
      </w:r>
    </w:p>
    <w:p w14:paraId="71969EFD" w14:textId="77777777" w:rsidR="00243AF9" w:rsidRPr="00243AF9" w:rsidRDefault="00243AF9" w:rsidP="00243AF9"/>
    <w:p w14:paraId="33140437" w14:textId="2B7CBC1D" w:rsidR="009B4DEF" w:rsidRPr="00E07BE3" w:rsidRDefault="009B4DEF" w:rsidP="00735566">
      <w:pPr>
        <w:jc w:val="center"/>
        <w:rPr>
          <w:rFonts w:ascii="Arial" w:hAnsi="Arial" w:cs="Arial"/>
          <w:b/>
          <w:sz w:val="18"/>
          <w:szCs w:val="18"/>
        </w:rPr>
      </w:pPr>
      <w:r w:rsidRPr="00E07BE3">
        <w:rPr>
          <w:rFonts w:ascii="Arial" w:hAnsi="Arial" w:cs="Arial"/>
          <w:b/>
          <w:sz w:val="18"/>
          <w:szCs w:val="18"/>
        </w:rPr>
        <w:t>Table 2: Respondent’s Demographic Profiles</w:t>
      </w:r>
    </w:p>
    <w:p w14:paraId="21F27E09" w14:textId="77777777" w:rsidR="009B4DEF" w:rsidRPr="00E07BE3" w:rsidRDefault="009B4DEF" w:rsidP="009B4DEF">
      <w:pPr>
        <w:tabs>
          <w:tab w:val="left" w:pos="0"/>
        </w:tabs>
        <w:jc w:val="center"/>
        <w:rPr>
          <w:rFonts w:ascii="Arial" w:hAnsi="Arial" w:cs="Arial"/>
          <w:b/>
          <w:sz w:val="18"/>
          <w:szCs w:val="18"/>
        </w:rPr>
      </w:pPr>
    </w:p>
    <w:tbl>
      <w:tblPr>
        <w:tblW w:w="7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7"/>
        <w:gridCol w:w="1665"/>
        <w:gridCol w:w="1701"/>
      </w:tblGrid>
      <w:tr w:rsidR="009B4DEF" w:rsidRPr="00E07BE3" w14:paraId="3D42071E" w14:textId="77777777" w:rsidTr="00243AF9">
        <w:trPr>
          <w:trHeight w:val="268"/>
          <w:jc w:val="center"/>
        </w:trPr>
        <w:tc>
          <w:tcPr>
            <w:tcW w:w="4167" w:type="dxa"/>
          </w:tcPr>
          <w:p w14:paraId="6ED9E0C1" w14:textId="77777777" w:rsidR="009B4DEF" w:rsidRPr="00E07BE3" w:rsidRDefault="009B4DEF" w:rsidP="00243AF9">
            <w:pPr>
              <w:pStyle w:val="TableParagraph"/>
              <w:spacing w:before="21" w:line="227" w:lineRule="exact"/>
              <w:ind w:left="70"/>
              <w:jc w:val="center"/>
              <w:rPr>
                <w:b/>
                <w:sz w:val="18"/>
                <w:szCs w:val="18"/>
              </w:rPr>
            </w:pPr>
            <w:r w:rsidRPr="00E07BE3">
              <w:rPr>
                <w:b/>
                <w:spacing w:val="-2"/>
                <w:sz w:val="18"/>
                <w:szCs w:val="18"/>
              </w:rPr>
              <w:t>Socio-demographic</w:t>
            </w:r>
            <w:r w:rsidRPr="00E07BE3">
              <w:rPr>
                <w:b/>
                <w:spacing w:val="15"/>
                <w:sz w:val="18"/>
                <w:szCs w:val="18"/>
              </w:rPr>
              <w:t xml:space="preserve"> </w:t>
            </w:r>
            <w:r w:rsidRPr="00E07BE3">
              <w:rPr>
                <w:b/>
                <w:spacing w:val="-2"/>
                <w:sz w:val="18"/>
                <w:szCs w:val="18"/>
              </w:rPr>
              <w:t>Profiles</w:t>
            </w:r>
          </w:p>
        </w:tc>
        <w:tc>
          <w:tcPr>
            <w:tcW w:w="1665" w:type="dxa"/>
          </w:tcPr>
          <w:p w14:paraId="379042E0" w14:textId="77777777" w:rsidR="009B4DEF" w:rsidRPr="00E07BE3" w:rsidRDefault="009B4DEF" w:rsidP="00243AF9">
            <w:pPr>
              <w:pStyle w:val="TableParagraph"/>
              <w:spacing w:before="21" w:line="227" w:lineRule="exact"/>
              <w:ind w:left="70"/>
              <w:jc w:val="center"/>
              <w:rPr>
                <w:b/>
                <w:sz w:val="18"/>
                <w:szCs w:val="18"/>
              </w:rPr>
            </w:pPr>
            <w:r w:rsidRPr="00E07BE3">
              <w:rPr>
                <w:b/>
                <w:sz w:val="18"/>
                <w:szCs w:val="18"/>
              </w:rPr>
              <w:t>Total</w:t>
            </w:r>
            <w:r w:rsidRPr="00E07BE3">
              <w:rPr>
                <w:b/>
                <w:spacing w:val="-4"/>
                <w:sz w:val="18"/>
                <w:szCs w:val="18"/>
              </w:rPr>
              <w:t xml:space="preserve"> </w:t>
            </w:r>
            <w:r w:rsidRPr="00E07BE3">
              <w:rPr>
                <w:b/>
                <w:spacing w:val="-10"/>
                <w:sz w:val="18"/>
                <w:szCs w:val="18"/>
              </w:rPr>
              <w:t>n</w:t>
            </w:r>
          </w:p>
        </w:tc>
        <w:tc>
          <w:tcPr>
            <w:tcW w:w="1701" w:type="dxa"/>
          </w:tcPr>
          <w:p w14:paraId="34626178" w14:textId="77777777" w:rsidR="009B4DEF" w:rsidRPr="00E07BE3" w:rsidRDefault="009B4DEF" w:rsidP="00243AF9">
            <w:pPr>
              <w:pStyle w:val="TableParagraph"/>
              <w:spacing w:before="21" w:line="227" w:lineRule="exact"/>
              <w:ind w:left="70"/>
              <w:jc w:val="center"/>
              <w:rPr>
                <w:b/>
                <w:sz w:val="18"/>
                <w:szCs w:val="18"/>
              </w:rPr>
            </w:pPr>
            <w:r w:rsidRPr="00E07BE3">
              <w:rPr>
                <w:b/>
                <w:spacing w:val="-2"/>
                <w:sz w:val="18"/>
                <w:szCs w:val="18"/>
              </w:rPr>
              <w:t>Percentage</w:t>
            </w:r>
            <w:r w:rsidRPr="00E07BE3">
              <w:rPr>
                <w:b/>
                <w:spacing w:val="3"/>
                <w:sz w:val="18"/>
                <w:szCs w:val="18"/>
              </w:rPr>
              <w:t xml:space="preserve"> </w:t>
            </w:r>
            <w:r w:rsidRPr="00E07BE3">
              <w:rPr>
                <w:b/>
                <w:spacing w:val="-5"/>
                <w:sz w:val="18"/>
                <w:szCs w:val="18"/>
              </w:rPr>
              <w:t>(%)</w:t>
            </w:r>
          </w:p>
        </w:tc>
      </w:tr>
      <w:tr w:rsidR="009B4DEF" w:rsidRPr="00E07BE3" w14:paraId="7C4CF21F" w14:textId="77777777" w:rsidTr="00243AF9">
        <w:trPr>
          <w:trHeight w:val="131"/>
          <w:jc w:val="center"/>
        </w:trPr>
        <w:tc>
          <w:tcPr>
            <w:tcW w:w="4167" w:type="dxa"/>
          </w:tcPr>
          <w:p w14:paraId="1699838A" w14:textId="4D87F74F" w:rsidR="009B4DEF" w:rsidRPr="00E07BE3" w:rsidRDefault="009B4DEF" w:rsidP="00243AF9">
            <w:pPr>
              <w:pStyle w:val="TableParagraph"/>
              <w:spacing w:before="35"/>
              <w:ind w:left="70"/>
              <w:rPr>
                <w:sz w:val="18"/>
                <w:szCs w:val="18"/>
              </w:rPr>
            </w:pPr>
            <w:r w:rsidRPr="00E07BE3">
              <w:rPr>
                <w:spacing w:val="-2"/>
                <w:sz w:val="18"/>
                <w:szCs w:val="18"/>
              </w:rPr>
              <w:t>Gender:</w:t>
            </w:r>
          </w:p>
        </w:tc>
        <w:tc>
          <w:tcPr>
            <w:tcW w:w="1665" w:type="dxa"/>
          </w:tcPr>
          <w:p w14:paraId="3D30FB9A" w14:textId="7773ED38" w:rsidR="009B4DEF" w:rsidRPr="00E07BE3" w:rsidRDefault="009B4DEF" w:rsidP="00771613">
            <w:pPr>
              <w:pStyle w:val="TableParagraph"/>
              <w:spacing w:line="222" w:lineRule="exact"/>
              <w:ind w:left="556"/>
              <w:rPr>
                <w:sz w:val="18"/>
                <w:szCs w:val="18"/>
              </w:rPr>
            </w:pPr>
          </w:p>
        </w:tc>
        <w:tc>
          <w:tcPr>
            <w:tcW w:w="1701" w:type="dxa"/>
          </w:tcPr>
          <w:p w14:paraId="44AEADC3" w14:textId="22E99E8B" w:rsidR="009B4DEF" w:rsidRPr="00E07BE3" w:rsidRDefault="009B4DEF" w:rsidP="00771613">
            <w:pPr>
              <w:pStyle w:val="TableParagraph"/>
              <w:spacing w:line="222" w:lineRule="exact"/>
              <w:ind w:left="131" w:right="156"/>
              <w:jc w:val="center"/>
              <w:rPr>
                <w:sz w:val="18"/>
                <w:szCs w:val="18"/>
              </w:rPr>
            </w:pPr>
          </w:p>
        </w:tc>
      </w:tr>
      <w:tr w:rsidR="00243AF9" w:rsidRPr="004A2F9E" w14:paraId="3D318F0F" w14:textId="77777777" w:rsidTr="004A2F9E">
        <w:trPr>
          <w:trHeight w:val="58"/>
          <w:jc w:val="center"/>
        </w:trPr>
        <w:tc>
          <w:tcPr>
            <w:tcW w:w="4167" w:type="dxa"/>
          </w:tcPr>
          <w:p w14:paraId="2297B968" w14:textId="2E3A069E" w:rsidR="00243AF9" w:rsidRPr="004A2F9E" w:rsidRDefault="00243AF9" w:rsidP="004A2F9E">
            <w:pPr>
              <w:pStyle w:val="NoSpacing"/>
              <w:rPr>
                <w:rFonts w:ascii="Arial" w:hAnsi="Arial" w:cs="Arial"/>
                <w:sz w:val="18"/>
                <w:szCs w:val="18"/>
              </w:rPr>
            </w:pPr>
            <w:r w:rsidRPr="004A2F9E">
              <w:rPr>
                <w:rFonts w:ascii="Arial" w:hAnsi="Arial" w:cs="Arial"/>
                <w:sz w:val="18"/>
                <w:szCs w:val="18"/>
              </w:rPr>
              <w:tab/>
              <w:t xml:space="preserve">         Male</w:t>
            </w:r>
          </w:p>
        </w:tc>
        <w:tc>
          <w:tcPr>
            <w:tcW w:w="1665" w:type="dxa"/>
          </w:tcPr>
          <w:p w14:paraId="31B088F9" w14:textId="4A0C327E" w:rsidR="00243AF9" w:rsidRPr="004A2F9E" w:rsidRDefault="00243AF9" w:rsidP="004A2F9E">
            <w:pPr>
              <w:pStyle w:val="NoSpacing"/>
              <w:jc w:val="center"/>
              <w:rPr>
                <w:rFonts w:ascii="Arial" w:hAnsi="Arial" w:cs="Arial"/>
                <w:iCs/>
                <w:sz w:val="18"/>
                <w:szCs w:val="18"/>
              </w:rPr>
            </w:pPr>
            <w:r w:rsidRPr="004A2F9E">
              <w:rPr>
                <w:rFonts w:ascii="Arial" w:hAnsi="Arial" w:cs="Arial"/>
                <w:spacing w:val="-5"/>
                <w:sz w:val="18"/>
                <w:szCs w:val="18"/>
              </w:rPr>
              <w:t>75</w:t>
            </w:r>
          </w:p>
        </w:tc>
        <w:tc>
          <w:tcPr>
            <w:tcW w:w="1701" w:type="dxa"/>
          </w:tcPr>
          <w:p w14:paraId="5C838927" w14:textId="1C8339E0" w:rsidR="00243AF9" w:rsidRPr="004A2F9E" w:rsidRDefault="00243AF9" w:rsidP="004A2F9E">
            <w:pPr>
              <w:pStyle w:val="NoSpacing"/>
              <w:jc w:val="center"/>
              <w:rPr>
                <w:rFonts w:ascii="Arial" w:hAnsi="Arial" w:cs="Arial"/>
                <w:i/>
                <w:sz w:val="18"/>
                <w:szCs w:val="18"/>
              </w:rPr>
            </w:pPr>
            <w:r w:rsidRPr="004A2F9E">
              <w:rPr>
                <w:rFonts w:ascii="Arial" w:hAnsi="Arial" w:cs="Arial"/>
                <w:spacing w:val="-4"/>
                <w:sz w:val="18"/>
                <w:szCs w:val="18"/>
              </w:rPr>
              <w:t>39.9</w:t>
            </w:r>
          </w:p>
        </w:tc>
      </w:tr>
      <w:tr w:rsidR="00243AF9" w:rsidRPr="00E07BE3" w14:paraId="64BC137C" w14:textId="77777777" w:rsidTr="004A2F9E">
        <w:trPr>
          <w:trHeight w:val="58"/>
          <w:jc w:val="center"/>
        </w:trPr>
        <w:tc>
          <w:tcPr>
            <w:tcW w:w="4167" w:type="dxa"/>
          </w:tcPr>
          <w:p w14:paraId="2EF178C3" w14:textId="77777777" w:rsidR="00243AF9" w:rsidRPr="00E07BE3" w:rsidRDefault="00243AF9" w:rsidP="00243AF9">
            <w:pPr>
              <w:pStyle w:val="TableParagraph"/>
              <w:spacing w:before="5"/>
              <w:ind w:left="1179"/>
              <w:rPr>
                <w:sz w:val="18"/>
                <w:szCs w:val="18"/>
              </w:rPr>
            </w:pPr>
            <w:r w:rsidRPr="00E07BE3">
              <w:rPr>
                <w:spacing w:val="-2"/>
                <w:sz w:val="18"/>
                <w:szCs w:val="18"/>
              </w:rPr>
              <w:t>Female</w:t>
            </w:r>
          </w:p>
        </w:tc>
        <w:tc>
          <w:tcPr>
            <w:tcW w:w="1665" w:type="dxa"/>
          </w:tcPr>
          <w:p w14:paraId="00B2A118" w14:textId="77777777" w:rsidR="00243AF9" w:rsidRPr="00E07BE3" w:rsidRDefault="00243AF9" w:rsidP="00243AF9">
            <w:pPr>
              <w:pStyle w:val="TableParagraph"/>
              <w:spacing w:before="5"/>
              <w:jc w:val="center"/>
              <w:rPr>
                <w:sz w:val="18"/>
                <w:szCs w:val="18"/>
              </w:rPr>
            </w:pPr>
            <w:r w:rsidRPr="00E07BE3">
              <w:rPr>
                <w:spacing w:val="-5"/>
                <w:sz w:val="18"/>
                <w:szCs w:val="18"/>
              </w:rPr>
              <w:t>113</w:t>
            </w:r>
          </w:p>
        </w:tc>
        <w:tc>
          <w:tcPr>
            <w:tcW w:w="1701" w:type="dxa"/>
          </w:tcPr>
          <w:p w14:paraId="5FDAB76F" w14:textId="77777777" w:rsidR="00243AF9" w:rsidRPr="00E07BE3" w:rsidRDefault="00243AF9" w:rsidP="00243AF9">
            <w:pPr>
              <w:pStyle w:val="TableParagraph"/>
              <w:spacing w:before="5"/>
              <w:jc w:val="center"/>
              <w:rPr>
                <w:sz w:val="18"/>
                <w:szCs w:val="18"/>
              </w:rPr>
            </w:pPr>
            <w:r w:rsidRPr="00E07BE3">
              <w:rPr>
                <w:spacing w:val="-4"/>
                <w:sz w:val="18"/>
                <w:szCs w:val="18"/>
              </w:rPr>
              <w:t>60.1</w:t>
            </w:r>
          </w:p>
        </w:tc>
      </w:tr>
      <w:tr w:rsidR="00243AF9" w:rsidRPr="00E07BE3" w14:paraId="2A94EE7E" w14:textId="77777777" w:rsidTr="00243AF9">
        <w:trPr>
          <w:trHeight w:val="58"/>
          <w:jc w:val="center"/>
        </w:trPr>
        <w:tc>
          <w:tcPr>
            <w:tcW w:w="4167" w:type="dxa"/>
          </w:tcPr>
          <w:p w14:paraId="1E447283" w14:textId="77777777" w:rsidR="00243AF9" w:rsidRPr="00E07BE3" w:rsidRDefault="00243AF9" w:rsidP="00243AF9">
            <w:pPr>
              <w:pStyle w:val="TableParagraph"/>
              <w:spacing w:before="33" w:line="210" w:lineRule="exact"/>
              <w:ind w:left="70"/>
              <w:rPr>
                <w:sz w:val="18"/>
                <w:szCs w:val="18"/>
              </w:rPr>
            </w:pPr>
            <w:r w:rsidRPr="00E07BE3">
              <w:rPr>
                <w:sz w:val="18"/>
                <w:szCs w:val="18"/>
              </w:rPr>
              <w:t>Age</w:t>
            </w:r>
            <w:r w:rsidRPr="00E07BE3">
              <w:rPr>
                <w:spacing w:val="-8"/>
                <w:sz w:val="18"/>
                <w:szCs w:val="18"/>
              </w:rPr>
              <w:t xml:space="preserve"> </w:t>
            </w:r>
            <w:r w:rsidRPr="00E07BE3">
              <w:rPr>
                <w:spacing w:val="-2"/>
                <w:sz w:val="18"/>
                <w:szCs w:val="18"/>
              </w:rPr>
              <w:t>Group:</w:t>
            </w:r>
          </w:p>
        </w:tc>
        <w:tc>
          <w:tcPr>
            <w:tcW w:w="1665" w:type="dxa"/>
          </w:tcPr>
          <w:p w14:paraId="42E9C5BC" w14:textId="77777777" w:rsidR="00243AF9" w:rsidRPr="00E07BE3" w:rsidRDefault="00243AF9" w:rsidP="00243AF9">
            <w:pPr>
              <w:pStyle w:val="TableParagraph"/>
              <w:jc w:val="center"/>
              <w:rPr>
                <w:sz w:val="18"/>
                <w:szCs w:val="18"/>
              </w:rPr>
            </w:pPr>
          </w:p>
        </w:tc>
        <w:tc>
          <w:tcPr>
            <w:tcW w:w="1701" w:type="dxa"/>
          </w:tcPr>
          <w:p w14:paraId="1D539557" w14:textId="77777777" w:rsidR="00243AF9" w:rsidRPr="00E07BE3" w:rsidRDefault="00243AF9" w:rsidP="00243AF9">
            <w:pPr>
              <w:pStyle w:val="TableParagraph"/>
              <w:jc w:val="center"/>
              <w:rPr>
                <w:sz w:val="18"/>
                <w:szCs w:val="18"/>
              </w:rPr>
            </w:pPr>
          </w:p>
        </w:tc>
      </w:tr>
      <w:tr w:rsidR="00243AF9" w:rsidRPr="00E07BE3" w14:paraId="39F04EA7" w14:textId="77777777" w:rsidTr="00243AF9">
        <w:trPr>
          <w:trHeight w:val="58"/>
          <w:jc w:val="center"/>
        </w:trPr>
        <w:tc>
          <w:tcPr>
            <w:tcW w:w="4167" w:type="dxa"/>
          </w:tcPr>
          <w:p w14:paraId="2E8E20FB" w14:textId="77777777" w:rsidR="00243AF9" w:rsidRPr="00E07BE3" w:rsidRDefault="00243AF9" w:rsidP="00243AF9">
            <w:pPr>
              <w:pStyle w:val="TableParagraph"/>
              <w:spacing w:before="19" w:line="222" w:lineRule="exact"/>
              <w:ind w:left="1123"/>
              <w:rPr>
                <w:sz w:val="18"/>
                <w:szCs w:val="18"/>
              </w:rPr>
            </w:pPr>
            <w:r w:rsidRPr="00E07BE3">
              <w:rPr>
                <w:sz w:val="18"/>
                <w:szCs w:val="18"/>
              </w:rPr>
              <w:t>18</w:t>
            </w:r>
            <w:r w:rsidRPr="00E07BE3">
              <w:rPr>
                <w:spacing w:val="-6"/>
                <w:sz w:val="18"/>
                <w:szCs w:val="18"/>
              </w:rPr>
              <w:t xml:space="preserve"> </w:t>
            </w:r>
            <w:r w:rsidRPr="00E07BE3">
              <w:rPr>
                <w:sz w:val="18"/>
                <w:szCs w:val="18"/>
              </w:rPr>
              <w:t>-</w:t>
            </w:r>
            <w:r w:rsidRPr="00E07BE3">
              <w:rPr>
                <w:spacing w:val="-3"/>
                <w:sz w:val="18"/>
                <w:szCs w:val="18"/>
              </w:rPr>
              <w:t xml:space="preserve"> </w:t>
            </w:r>
            <w:r w:rsidRPr="00E07BE3">
              <w:rPr>
                <w:sz w:val="18"/>
                <w:szCs w:val="18"/>
              </w:rPr>
              <w:t>24</w:t>
            </w:r>
            <w:r w:rsidRPr="00E07BE3">
              <w:rPr>
                <w:spacing w:val="-2"/>
                <w:sz w:val="18"/>
                <w:szCs w:val="18"/>
              </w:rPr>
              <w:t xml:space="preserve"> </w:t>
            </w:r>
            <w:r w:rsidRPr="00E07BE3">
              <w:rPr>
                <w:sz w:val="18"/>
                <w:szCs w:val="18"/>
              </w:rPr>
              <w:t>years</w:t>
            </w:r>
            <w:r w:rsidRPr="00E07BE3">
              <w:rPr>
                <w:spacing w:val="-2"/>
                <w:sz w:val="18"/>
                <w:szCs w:val="18"/>
              </w:rPr>
              <w:t xml:space="preserve"> </w:t>
            </w:r>
            <w:r w:rsidRPr="00E07BE3">
              <w:rPr>
                <w:spacing w:val="-5"/>
                <w:sz w:val="18"/>
                <w:szCs w:val="18"/>
              </w:rPr>
              <w:t>old</w:t>
            </w:r>
          </w:p>
        </w:tc>
        <w:tc>
          <w:tcPr>
            <w:tcW w:w="1665" w:type="dxa"/>
          </w:tcPr>
          <w:p w14:paraId="1D94026B" w14:textId="77777777" w:rsidR="00243AF9" w:rsidRPr="00E07BE3" w:rsidRDefault="00243AF9" w:rsidP="00243AF9">
            <w:pPr>
              <w:pStyle w:val="TableParagraph"/>
              <w:spacing w:before="19" w:line="222" w:lineRule="exact"/>
              <w:jc w:val="center"/>
              <w:rPr>
                <w:sz w:val="18"/>
                <w:szCs w:val="18"/>
              </w:rPr>
            </w:pPr>
            <w:r w:rsidRPr="00E07BE3">
              <w:rPr>
                <w:spacing w:val="-5"/>
                <w:sz w:val="18"/>
                <w:szCs w:val="18"/>
              </w:rPr>
              <w:t>48</w:t>
            </w:r>
          </w:p>
        </w:tc>
        <w:tc>
          <w:tcPr>
            <w:tcW w:w="1701" w:type="dxa"/>
          </w:tcPr>
          <w:p w14:paraId="522D966A" w14:textId="77777777" w:rsidR="00243AF9" w:rsidRPr="00E07BE3" w:rsidRDefault="00243AF9" w:rsidP="00243AF9">
            <w:pPr>
              <w:pStyle w:val="TableParagraph"/>
              <w:spacing w:before="19" w:line="222" w:lineRule="exact"/>
              <w:jc w:val="center"/>
              <w:rPr>
                <w:sz w:val="18"/>
                <w:szCs w:val="18"/>
              </w:rPr>
            </w:pPr>
            <w:r w:rsidRPr="00E07BE3">
              <w:rPr>
                <w:spacing w:val="-4"/>
                <w:sz w:val="18"/>
                <w:szCs w:val="18"/>
              </w:rPr>
              <w:t>25.5</w:t>
            </w:r>
          </w:p>
        </w:tc>
      </w:tr>
      <w:tr w:rsidR="00243AF9" w:rsidRPr="00E07BE3" w14:paraId="68D1BD5B" w14:textId="77777777" w:rsidTr="00243AF9">
        <w:trPr>
          <w:trHeight w:val="58"/>
          <w:jc w:val="center"/>
        </w:trPr>
        <w:tc>
          <w:tcPr>
            <w:tcW w:w="4167" w:type="dxa"/>
          </w:tcPr>
          <w:p w14:paraId="530636F5" w14:textId="77777777" w:rsidR="00243AF9" w:rsidRPr="00E07BE3" w:rsidRDefault="00243AF9" w:rsidP="00243AF9">
            <w:pPr>
              <w:pStyle w:val="TableParagraph"/>
              <w:spacing w:before="5" w:line="222" w:lineRule="exact"/>
              <w:ind w:left="1123"/>
              <w:rPr>
                <w:sz w:val="18"/>
                <w:szCs w:val="18"/>
              </w:rPr>
            </w:pPr>
            <w:r w:rsidRPr="00E07BE3">
              <w:rPr>
                <w:sz w:val="18"/>
                <w:szCs w:val="18"/>
              </w:rPr>
              <w:t>25</w:t>
            </w:r>
            <w:r w:rsidRPr="00E07BE3">
              <w:rPr>
                <w:spacing w:val="-6"/>
                <w:sz w:val="18"/>
                <w:szCs w:val="18"/>
              </w:rPr>
              <w:t xml:space="preserve"> </w:t>
            </w:r>
            <w:r w:rsidRPr="00E07BE3">
              <w:rPr>
                <w:sz w:val="18"/>
                <w:szCs w:val="18"/>
              </w:rPr>
              <w:t>-</w:t>
            </w:r>
            <w:r w:rsidRPr="00E07BE3">
              <w:rPr>
                <w:spacing w:val="-3"/>
                <w:sz w:val="18"/>
                <w:szCs w:val="18"/>
              </w:rPr>
              <w:t xml:space="preserve"> </w:t>
            </w:r>
            <w:r w:rsidRPr="00E07BE3">
              <w:rPr>
                <w:sz w:val="18"/>
                <w:szCs w:val="18"/>
              </w:rPr>
              <w:t>34</w:t>
            </w:r>
            <w:r w:rsidRPr="00E07BE3">
              <w:rPr>
                <w:spacing w:val="-2"/>
                <w:sz w:val="18"/>
                <w:szCs w:val="18"/>
              </w:rPr>
              <w:t xml:space="preserve"> </w:t>
            </w:r>
            <w:r w:rsidRPr="00E07BE3">
              <w:rPr>
                <w:sz w:val="18"/>
                <w:szCs w:val="18"/>
              </w:rPr>
              <w:t>years</w:t>
            </w:r>
            <w:r w:rsidRPr="00E07BE3">
              <w:rPr>
                <w:spacing w:val="-2"/>
                <w:sz w:val="18"/>
                <w:szCs w:val="18"/>
              </w:rPr>
              <w:t xml:space="preserve"> </w:t>
            </w:r>
            <w:r w:rsidRPr="00E07BE3">
              <w:rPr>
                <w:spacing w:val="-5"/>
                <w:sz w:val="18"/>
                <w:szCs w:val="18"/>
              </w:rPr>
              <w:t>old</w:t>
            </w:r>
          </w:p>
        </w:tc>
        <w:tc>
          <w:tcPr>
            <w:tcW w:w="1665" w:type="dxa"/>
          </w:tcPr>
          <w:p w14:paraId="30772A20" w14:textId="77777777" w:rsidR="00243AF9" w:rsidRPr="00E07BE3" w:rsidRDefault="00243AF9" w:rsidP="00243AF9">
            <w:pPr>
              <w:pStyle w:val="TableParagraph"/>
              <w:spacing w:before="5" w:line="222" w:lineRule="exact"/>
              <w:jc w:val="center"/>
              <w:rPr>
                <w:sz w:val="18"/>
                <w:szCs w:val="18"/>
              </w:rPr>
            </w:pPr>
            <w:r w:rsidRPr="00E07BE3">
              <w:rPr>
                <w:spacing w:val="-5"/>
                <w:sz w:val="18"/>
                <w:szCs w:val="18"/>
              </w:rPr>
              <w:t>67</w:t>
            </w:r>
          </w:p>
        </w:tc>
        <w:tc>
          <w:tcPr>
            <w:tcW w:w="1701" w:type="dxa"/>
          </w:tcPr>
          <w:p w14:paraId="6697CE49" w14:textId="77777777" w:rsidR="00243AF9" w:rsidRPr="00E07BE3" w:rsidRDefault="00243AF9" w:rsidP="00243AF9">
            <w:pPr>
              <w:pStyle w:val="TableParagraph"/>
              <w:spacing w:before="5" w:line="222" w:lineRule="exact"/>
              <w:jc w:val="center"/>
              <w:rPr>
                <w:sz w:val="18"/>
                <w:szCs w:val="18"/>
              </w:rPr>
            </w:pPr>
            <w:r w:rsidRPr="00E07BE3">
              <w:rPr>
                <w:spacing w:val="-4"/>
                <w:sz w:val="18"/>
                <w:szCs w:val="18"/>
              </w:rPr>
              <w:t>35.6</w:t>
            </w:r>
          </w:p>
        </w:tc>
      </w:tr>
      <w:tr w:rsidR="00243AF9" w:rsidRPr="00E07BE3" w14:paraId="69A2D19B" w14:textId="77777777" w:rsidTr="00243AF9">
        <w:trPr>
          <w:trHeight w:val="58"/>
          <w:jc w:val="center"/>
        </w:trPr>
        <w:tc>
          <w:tcPr>
            <w:tcW w:w="4167" w:type="dxa"/>
          </w:tcPr>
          <w:p w14:paraId="515A290B" w14:textId="77777777" w:rsidR="00243AF9" w:rsidRPr="00E07BE3" w:rsidRDefault="00243AF9" w:rsidP="00243AF9">
            <w:pPr>
              <w:pStyle w:val="TableParagraph"/>
              <w:spacing w:before="5" w:line="223" w:lineRule="exact"/>
              <w:ind w:left="1123"/>
              <w:rPr>
                <w:sz w:val="18"/>
                <w:szCs w:val="18"/>
              </w:rPr>
            </w:pPr>
            <w:r w:rsidRPr="00E07BE3">
              <w:rPr>
                <w:sz w:val="18"/>
                <w:szCs w:val="18"/>
              </w:rPr>
              <w:t>35</w:t>
            </w:r>
            <w:r w:rsidRPr="00E07BE3">
              <w:rPr>
                <w:spacing w:val="-6"/>
                <w:sz w:val="18"/>
                <w:szCs w:val="18"/>
              </w:rPr>
              <w:t xml:space="preserve"> </w:t>
            </w:r>
            <w:r w:rsidRPr="00E07BE3">
              <w:rPr>
                <w:sz w:val="18"/>
                <w:szCs w:val="18"/>
              </w:rPr>
              <w:t>-</w:t>
            </w:r>
            <w:r w:rsidRPr="00E07BE3">
              <w:rPr>
                <w:spacing w:val="-3"/>
                <w:sz w:val="18"/>
                <w:szCs w:val="18"/>
              </w:rPr>
              <w:t xml:space="preserve"> </w:t>
            </w:r>
            <w:r w:rsidRPr="00E07BE3">
              <w:rPr>
                <w:sz w:val="18"/>
                <w:szCs w:val="18"/>
              </w:rPr>
              <w:t>44</w:t>
            </w:r>
            <w:r w:rsidRPr="00E07BE3">
              <w:rPr>
                <w:spacing w:val="-2"/>
                <w:sz w:val="18"/>
                <w:szCs w:val="18"/>
              </w:rPr>
              <w:t xml:space="preserve"> </w:t>
            </w:r>
            <w:r w:rsidRPr="00E07BE3">
              <w:rPr>
                <w:sz w:val="18"/>
                <w:szCs w:val="18"/>
              </w:rPr>
              <w:t>years</w:t>
            </w:r>
            <w:r w:rsidRPr="00E07BE3">
              <w:rPr>
                <w:spacing w:val="-2"/>
                <w:sz w:val="18"/>
                <w:szCs w:val="18"/>
              </w:rPr>
              <w:t xml:space="preserve"> </w:t>
            </w:r>
            <w:r w:rsidRPr="00E07BE3">
              <w:rPr>
                <w:spacing w:val="-5"/>
                <w:sz w:val="18"/>
                <w:szCs w:val="18"/>
              </w:rPr>
              <w:t>old</w:t>
            </w:r>
          </w:p>
        </w:tc>
        <w:tc>
          <w:tcPr>
            <w:tcW w:w="1665" w:type="dxa"/>
          </w:tcPr>
          <w:p w14:paraId="0AE574CC" w14:textId="77777777" w:rsidR="00243AF9" w:rsidRPr="00E07BE3" w:rsidRDefault="00243AF9" w:rsidP="00243AF9">
            <w:pPr>
              <w:pStyle w:val="TableParagraph"/>
              <w:spacing w:before="5" w:line="223" w:lineRule="exact"/>
              <w:jc w:val="center"/>
              <w:rPr>
                <w:sz w:val="18"/>
                <w:szCs w:val="18"/>
              </w:rPr>
            </w:pPr>
            <w:r w:rsidRPr="00E07BE3">
              <w:rPr>
                <w:spacing w:val="-5"/>
                <w:sz w:val="18"/>
                <w:szCs w:val="18"/>
              </w:rPr>
              <w:t>54</w:t>
            </w:r>
          </w:p>
        </w:tc>
        <w:tc>
          <w:tcPr>
            <w:tcW w:w="1701" w:type="dxa"/>
          </w:tcPr>
          <w:p w14:paraId="1FBE7BDF" w14:textId="77777777" w:rsidR="00243AF9" w:rsidRPr="00E07BE3" w:rsidRDefault="00243AF9" w:rsidP="00243AF9">
            <w:pPr>
              <w:pStyle w:val="TableParagraph"/>
              <w:spacing w:before="5" w:line="223" w:lineRule="exact"/>
              <w:jc w:val="center"/>
              <w:rPr>
                <w:sz w:val="18"/>
                <w:szCs w:val="18"/>
              </w:rPr>
            </w:pPr>
            <w:r w:rsidRPr="00E07BE3">
              <w:rPr>
                <w:spacing w:val="-4"/>
                <w:sz w:val="18"/>
                <w:szCs w:val="18"/>
              </w:rPr>
              <w:t>28.7</w:t>
            </w:r>
          </w:p>
        </w:tc>
      </w:tr>
      <w:tr w:rsidR="00243AF9" w:rsidRPr="00E07BE3" w14:paraId="7199A20A" w14:textId="77777777" w:rsidTr="00243AF9">
        <w:trPr>
          <w:trHeight w:val="58"/>
          <w:jc w:val="center"/>
        </w:trPr>
        <w:tc>
          <w:tcPr>
            <w:tcW w:w="4167" w:type="dxa"/>
          </w:tcPr>
          <w:p w14:paraId="26501EF9" w14:textId="77777777" w:rsidR="00243AF9" w:rsidRPr="00E07BE3" w:rsidRDefault="00243AF9" w:rsidP="00243AF9">
            <w:pPr>
              <w:pStyle w:val="TableParagraph"/>
              <w:spacing w:before="6" w:line="222" w:lineRule="exact"/>
              <w:ind w:left="1123"/>
              <w:rPr>
                <w:sz w:val="18"/>
                <w:szCs w:val="18"/>
              </w:rPr>
            </w:pPr>
            <w:r w:rsidRPr="00E07BE3">
              <w:rPr>
                <w:sz w:val="18"/>
                <w:szCs w:val="18"/>
              </w:rPr>
              <w:t>45</w:t>
            </w:r>
            <w:r w:rsidRPr="00E07BE3">
              <w:rPr>
                <w:spacing w:val="-6"/>
                <w:sz w:val="18"/>
                <w:szCs w:val="18"/>
              </w:rPr>
              <w:t xml:space="preserve"> </w:t>
            </w:r>
            <w:r w:rsidRPr="00E07BE3">
              <w:rPr>
                <w:sz w:val="18"/>
                <w:szCs w:val="18"/>
              </w:rPr>
              <w:t>-</w:t>
            </w:r>
            <w:r w:rsidRPr="00E07BE3">
              <w:rPr>
                <w:spacing w:val="-3"/>
                <w:sz w:val="18"/>
                <w:szCs w:val="18"/>
              </w:rPr>
              <w:t xml:space="preserve"> </w:t>
            </w:r>
            <w:r w:rsidRPr="00E07BE3">
              <w:rPr>
                <w:sz w:val="18"/>
                <w:szCs w:val="18"/>
              </w:rPr>
              <w:t>54</w:t>
            </w:r>
            <w:r w:rsidRPr="00E07BE3">
              <w:rPr>
                <w:spacing w:val="-2"/>
                <w:sz w:val="18"/>
                <w:szCs w:val="18"/>
              </w:rPr>
              <w:t xml:space="preserve"> </w:t>
            </w:r>
            <w:r w:rsidRPr="00E07BE3">
              <w:rPr>
                <w:sz w:val="18"/>
                <w:szCs w:val="18"/>
              </w:rPr>
              <w:t>years</w:t>
            </w:r>
            <w:r w:rsidRPr="00E07BE3">
              <w:rPr>
                <w:spacing w:val="-2"/>
                <w:sz w:val="18"/>
                <w:szCs w:val="18"/>
              </w:rPr>
              <w:t xml:space="preserve"> </w:t>
            </w:r>
            <w:r w:rsidRPr="00E07BE3">
              <w:rPr>
                <w:spacing w:val="-5"/>
                <w:sz w:val="18"/>
                <w:szCs w:val="18"/>
              </w:rPr>
              <w:t>old</w:t>
            </w:r>
          </w:p>
        </w:tc>
        <w:tc>
          <w:tcPr>
            <w:tcW w:w="1665" w:type="dxa"/>
          </w:tcPr>
          <w:p w14:paraId="6AC0ED01" w14:textId="77777777" w:rsidR="00243AF9" w:rsidRPr="00E07BE3" w:rsidRDefault="00243AF9" w:rsidP="00243AF9">
            <w:pPr>
              <w:pStyle w:val="TableParagraph"/>
              <w:spacing w:before="6" w:line="222" w:lineRule="exact"/>
              <w:jc w:val="center"/>
              <w:rPr>
                <w:sz w:val="18"/>
                <w:szCs w:val="18"/>
              </w:rPr>
            </w:pPr>
            <w:r w:rsidRPr="00E07BE3">
              <w:rPr>
                <w:spacing w:val="-5"/>
                <w:sz w:val="18"/>
                <w:szCs w:val="18"/>
              </w:rPr>
              <w:t>13</w:t>
            </w:r>
          </w:p>
        </w:tc>
        <w:tc>
          <w:tcPr>
            <w:tcW w:w="1701" w:type="dxa"/>
          </w:tcPr>
          <w:p w14:paraId="06512233" w14:textId="77777777" w:rsidR="00243AF9" w:rsidRPr="00E07BE3" w:rsidRDefault="00243AF9" w:rsidP="00243AF9">
            <w:pPr>
              <w:pStyle w:val="TableParagraph"/>
              <w:spacing w:before="6" w:line="222" w:lineRule="exact"/>
              <w:jc w:val="center"/>
              <w:rPr>
                <w:sz w:val="18"/>
                <w:szCs w:val="18"/>
              </w:rPr>
            </w:pPr>
            <w:r w:rsidRPr="00E07BE3">
              <w:rPr>
                <w:spacing w:val="-5"/>
                <w:sz w:val="18"/>
                <w:szCs w:val="18"/>
              </w:rPr>
              <w:t>6.9</w:t>
            </w:r>
          </w:p>
        </w:tc>
      </w:tr>
      <w:tr w:rsidR="00243AF9" w:rsidRPr="00E07BE3" w14:paraId="788040CE" w14:textId="77777777" w:rsidTr="00243AF9">
        <w:trPr>
          <w:trHeight w:val="58"/>
          <w:jc w:val="center"/>
        </w:trPr>
        <w:tc>
          <w:tcPr>
            <w:tcW w:w="4167" w:type="dxa"/>
          </w:tcPr>
          <w:p w14:paraId="2DEA5D95" w14:textId="77777777" w:rsidR="00243AF9" w:rsidRPr="00E07BE3" w:rsidRDefault="00243AF9" w:rsidP="00243AF9">
            <w:pPr>
              <w:pStyle w:val="TableParagraph"/>
              <w:spacing w:before="5" w:line="223" w:lineRule="exact"/>
              <w:ind w:left="1123"/>
              <w:rPr>
                <w:sz w:val="18"/>
                <w:szCs w:val="18"/>
              </w:rPr>
            </w:pPr>
            <w:r w:rsidRPr="00E07BE3">
              <w:rPr>
                <w:sz w:val="18"/>
                <w:szCs w:val="18"/>
              </w:rPr>
              <w:t>55</w:t>
            </w:r>
            <w:r w:rsidRPr="00E07BE3">
              <w:rPr>
                <w:spacing w:val="-6"/>
                <w:sz w:val="18"/>
                <w:szCs w:val="18"/>
              </w:rPr>
              <w:t xml:space="preserve"> </w:t>
            </w:r>
            <w:r w:rsidRPr="00E07BE3">
              <w:rPr>
                <w:sz w:val="18"/>
                <w:szCs w:val="18"/>
              </w:rPr>
              <w:t>-</w:t>
            </w:r>
            <w:r w:rsidRPr="00E07BE3">
              <w:rPr>
                <w:spacing w:val="-3"/>
                <w:sz w:val="18"/>
                <w:szCs w:val="18"/>
              </w:rPr>
              <w:t xml:space="preserve"> </w:t>
            </w:r>
            <w:r w:rsidRPr="00E07BE3">
              <w:rPr>
                <w:sz w:val="18"/>
                <w:szCs w:val="18"/>
              </w:rPr>
              <w:t>64</w:t>
            </w:r>
            <w:r w:rsidRPr="00E07BE3">
              <w:rPr>
                <w:spacing w:val="-2"/>
                <w:sz w:val="18"/>
                <w:szCs w:val="18"/>
              </w:rPr>
              <w:t xml:space="preserve"> </w:t>
            </w:r>
            <w:r w:rsidRPr="00E07BE3">
              <w:rPr>
                <w:sz w:val="18"/>
                <w:szCs w:val="18"/>
              </w:rPr>
              <w:t>years</w:t>
            </w:r>
            <w:r w:rsidRPr="00E07BE3">
              <w:rPr>
                <w:spacing w:val="-2"/>
                <w:sz w:val="18"/>
                <w:szCs w:val="18"/>
              </w:rPr>
              <w:t xml:space="preserve"> </w:t>
            </w:r>
            <w:r w:rsidRPr="00E07BE3">
              <w:rPr>
                <w:spacing w:val="-5"/>
                <w:sz w:val="18"/>
                <w:szCs w:val="18"/>
              </w:rPr>
              <w:t>old</w:t>
            </w:r>
          </w:p>
        </w:tc>
        <w:tc>
          <w:tcPr>
            <w:tcW w:w="1665" w:type="dxa"/>
          </w:tcPr>
          <w:p w14:paraId="1314F207" w14:textId="77777777" w:rsidR="00243AF9" w:rsidRPr="00E07BE3" w:rsidRDefault="00243AF9" w:rsidP="00243AF9">
            <w:pPr>
              <w:pStyle w:val="TableParagraph"/>
              <w:spacing w:before="5" w:line="223" w:lineRule="exact"/>
              <w:jc w:val="center"/>
              <w:rPr>
                <w:sz w:val="18"/>
                <w:szCs w:val="18"/>
              </w:rPr>
            </w:pPr>
            <w:r w:rsidRPr="00E07BE3">
              <w:rPr>
                <w:spacing w:val="-10"/>
                <w:sz w:val="18"/>
                <w:szCs w:val="18"/>
              </w:rPr>
              <w:t>6</w:t>
            </w:r>
          </w:p>
        </w:tc>
        <w:tc>
          <w:tcPr>
            <w:tcW w:w="1701" w:type="dxa"/>
          </w:tcPr>
          <w:p w14:paraId="2595A24E" w14:textId="77777777" w:rsidR="00243AF9" w:rsidRPr="00E07BE3" w:rsidRDefault="00243AF9" w:rsidP="00243AF9">
            <w:pPr>
              <w:pStyle w:val="TableParagraph"/>
              <w:spacing w:before="5" w:line="223" w:lineRule="exact"/>
              <w:jc w:val="center"/>
              <w:rPr>
                <w:sz w:val="18"/>
                <w:szCs w:val="18"/>
              </w:rPr>
            </w:pPr>
            <w:r w:rsidRPr="00E07BE3">
              <w:rPr>
                <w:spacing w:val="-5"/>
                <w:sz w:val="18"/>
                <w:szCs w:val="18"/>
              </w:rPr>
              <w:t>3.2</w:t>
            </w:r>
          </w:p>
        </w:tc>
      </w:tr>
      <w:tr w:rsidR="00243AF9" w:rsidRPr="00E07BE3" w14:paraId="2196CFED" w14:textId="77777777" w:rsidTr="00243AF9">
        <w:trPr>
          <w:trHeight w:val="58"/>
          <w:jc w:val="center"/>
        </w:trPr>
        <w:tc>
          <w:tcPr>
            <w:tcW w:w="4167" w:type="dxa"/>
          </w:tcPr>
          <w:p w14:paraId="6B43210F" w14:textId="77777777" w:rsidR="00243AF9" w:rsidRPr="00E07BE3" w:rsidRDefault="00243AF9" w:rsidP="00243AF9">
            <w:pPr>
              <w:pStyle w:val="TableParagraph"/>
              <w:spacing w:before="6"/>
              <w:ind w:left="1123"/>
              <w:rPr>
                <w:sz w:val="18"/>
                <w:szCs w:val="18"/>
              </w:rPr>
            </w:pPr>
            <w:r w:rsidRPr="00E07BE3">
              <w:rPr>
                <w:sz w:val="18"/>
                <w:szCs w:val="18"/>
              </w:rPr>
              <w:t>64</w:t>
            </w:r>
            <w:r w:rsidRPr="00E07BE3">
              <w:rPr>
                <w:spacing w:val="-5"/>
                <w:sz w:val="18"/>
                <w:szCs w:val="18"/>
              </w:rPr>
              <w:t xml:space="preserve"> </w:t>
            </w:r>
            <w:r w:rsidRPr="00E07BE3">
              <w:rPr>
                <w:sz w:val="18"/>
                <w:szCs w:val="18"/>
              </w:rPr>
              <w:t>years</w:t>
            </w:r>
            <w:r w:rsidRPr="00E07BE3">
              <w:rPr>
                <w:spacing w:val="-4"/>
                <w:sz w:val="18"/>
                <w:szCs w:val="18"/>
              </w:rPr>
              <w:t xml:space="preserve"> </w:t>
            </w:r>
            <w:r w:rsidRPr="00E07BE3">
              <w:rPr>
                <w:sz w:val="18"/>
                <w:szCs w:val="18"/>
              </w:rPr>
              <w:t>and</w:t>
            </w:r>
            <w:r w:rsidRPr="00E07BE3">
              <w:rPr>
                <w:spacing w:val="-5"/>
                <w:sz w:val="18"/>
                <w:szCs w:val="18"/>
              </w:rPr>
              <w:t xml:space="preserve"> </w:t>
            </w:r>
            <w:r w:rsidRPr="00E07BE3">
              <w:rPr>
                <w:spacing w:val="-4"/>
                <w:sz w:val="18"/>
                <w:szCs w:val="18"/>
              </w:rPr>
              <w:t>above</w:t>
            </w:r>
          </w:p>
        </w:tc>
        <w:tc>
          <w:tcPr>
            <w:tcW w:w="1665" w:type="dxa"/>
          </w:tcPr>
          <w:p w14:paraId="095830F7" w14:textId="77777777" w:rsidR="00243AF9" w:rsidRPr="00E07BE3" w:rsidRDefault="00243AF9" w:rsidP="00243AF9">
            <w:pPr>
              <w:pStyle w:val="TableParagraph"/>
              <w:spacing w:before="6"/>
              <w:jc w:val="center"/>
              <w:rPr>
                <w:sz w:val="18"/>
                <w:szCs w:val="18"/>
              </w:rPr>
            </w:pPr>
            <w:r w:rsidRPr="00E07BE3">
              <w:rPr>
                <w:spacing w:val="-10"/>
                <w:sz w:val="18"/>
                <w:szCs w:val="18"/>
              </w:rPr>
              <w:t>0</w:t>
            </w:r>
          </w:p>
        </w:tc>
        <w:tc>
          <w:tcPr>
            <w:tcW w:w="1701" w:type="dxa"/>
          </w:tcPr>
          <w:p w14:paraId="175B3898" w14:textId="77777777" w:rsidR="00243AF9" w:rsidRPr="00E07BE3" w:rsidRDefault="00243AF9" w:rsidP="00243AF9">
            <w:pPr>
              <w:pStyle w:val="TableParagraph"/>
              <w:spacing w:before="6"/>
              <w:jc w:val="center"/>
              <w:rPr>
                <w:sz w:val="18"/>
                <w:szCs w:val="18"/>
              </w:rPr>
            </w:pPr>
            <w:r w:rsidRPr="00E07BE3">
              <w:rPr>
                <w:spacing w:val="-10"/>
                <w:sz w:val="18"/>
                <w:szCs w:val="18"/>
              </w:rPr>
              <w:t>0</w:t>
            </w:r>
          </w:p>
        </w:tc>
      </w:tr>
      <w:tr w:rsidR="00243AF9" w:rsidRPr="00E07BE3" w14:paraId="253CCF5E" w14:textId="77777777" w:rsidTr="00243AF9">
        <w:trPr>
          <w:trHeight w:val="58"/>
          <w:jc w:val="center"/>
        </w:trPr>
        <w:tc>
          <w:tcPr>
            <w:tcW w:w="4167" w:type="dxa"/>
          </w:tcPr>
          <w:p w14:paraId="31B36D1F" w14:textId="77777777" w:rsidR="00243AF9" w:rsidRPr="00E07BE3" w:rsidRDefault="00243AF9" w:rsidP="00243AF9">
            <w:pPr>
              <w:pStyle w:val="TableParagraph"/>
              <w:spacing w:before="33" w:line="210" w:lineRule="exact"/>
              <w:ind w:left="70"/>
              <w:rPr>
                <w:sz w:val="18"/>
                <w:szCs w:val="18"/>
              </w:rPr>
            </w:pPr>
            <w:r w:rsidRPr="00E07BE3">
              <w:rPr>
                <w:sz w:val="18"/>
                <w:szCs w:val="18"/>
              </w:rPr>
              <w:t>Education</w:t>
            </w:r>
            <w:r w:rsidRPr="00E07BE3">
              <w:rPr>
                <w:spacing w:val="-12"/>
                <w:sz w:val="18"/>
                <w:szCs w:val="18"/>
              </w:rPr>
              <w:t xml:space="preserve"> </w:t>
            </w:r>
            <w:r w:rsidRPr="00E07BE3">
              <w:rPr>
                <w:spacing w:val="-2"/>
                <w:sz w:val="18"/>
                <w:szCs w:val="18"/>
              </w:rPr>
              <w:t>Level:</w:t>
            </w:r>
          </w:p>
        </w:tc>
        <w:tc>
          <w:tcPr>
            <w:tcW w:w="1665" w:type="dxa"/>
          </w:tcPr>
          <w:p w14:paraId="4B6E16AD" w14:textId="77777777" w:rsidR="00243AF9" w:rsidRPr="00E07BE3" w:rsidRDefault="00243AF9" w:rsidP="00243AF9">
            <w:pPr>
              <w:pStyle w:val="TableParagraph"/>
              <w:jc w:val="center"/>
              <w:rPr>
                <w:sz w:val="18"/>
                <w:szCs w:val="18"/>
              </w:rPr>
            </w:pPr>
          </w:p>
        </w:tc>
        <w:tc>
          <w:tcPr>
            <w:tcW w:w="1701" w:type="dxa"/>
          </w:tcPr>
          <w:p w14:paraId="5968D193" w14:textId="77777777" w:rsidR="00243AF9" w:rsidRPr="00E07BE3" w:rsidRDefault="00243AF9" w:rsidP="00243AF9">
            <w:pPr>
              <w:pStyle w:val="TableParagraph"/>
              <w:jc w:val="center"/>
              <w:rPr>
                <w:sz w:val="18"/>
                <w:szCs w:val="18"/>
              </w:rPr>
            </w:pPr>
          </w:p>
        </w:tc>
      </w:tr>
      <w:tr w:rsidR="00243AF9" w:rsidRPr="00E07BE3" w14:paraId="18203FDB" w14:textId="77777777" w:rsidTr="00243AF9">
        <w:trPr>
          <w:trHeight w:val="58"/>
          <w:jc w:val="center"/>
        </w:trPr>
        <w:tc>
          <w:tcPr>
            <w:tcW w:w="4167" w:type="dxa"/>
          </w:tcPr>
          <w:p w14:paraId="28EC1042" w14:textId="77777777" w:rsidR="00243AF9" w:rsidRPr="00E07BE3" w:rsidRDefault="00243AF9" w:rsidP="004A2F9E">
            <w:pPr>
              <w:pStyle w:val="TableParagraph"/>
              <w:spacing w:before="19" w:line="222" w:lineRule="exact"/>
              <w:ind w:left="1126"/>
              <w:rPr>
                <w:sz w:val="18"/>
                <w:szCs w:val="18"/>
              </w:rPr>
            </w:pPr>
            <w:r w:rsidRPr="00E07BE3">
              <w:rPr>
                <w:spacing w:val="-2"/>
                <w:sz w:val="18"/>
                <w:szCs w:val="18"/>
              </w:rPr>
              <w:lastRenderedPageBreak/>
              <w:t>Elementary</w:t>
            </w:r>
            <w:r w:rsidRPr="00E07BE3">
              <w:rPr>
                <w:spacing w:val="4"/>
                <w:sz w:val="18"/>
                <w:szCs w:val="18"/>
              </w:rPr>
              <w:t xml:space="preserve"> </w:t>
            </w:r>
            <w:r w:rsidRPr="00E07BE3">
              <w:rPr>
                <w:spacing w:val="-2"/>
                <w:sz w:val="18"/>
                <w:szCs w:val="18"/>
              </w:rPr>
              <w:t>Graduate</w:t>
            </w:r>
          </w:p>
        </w:tc>
        <w:tc>
          <w:tcPr>
            <w:tcW w:w="1665" w:type="dxa"/>
          </w:tcPr>
          <w:p w14:paraId="033875EB" w14:textId="77777777" w:rsidR="00243AF9" w:rsidRPr="00E07BE3" w:rsidRDefault="00243AF9" w:rsidP="00243AF9">
            <w:pPr>
              <w:pStyle w:val="TableParagraph"/>
              <w:spacing w:before="19" w:line="222" w:lineRule="exact"/>
              <w:jc w:val="center"/>
              <w:rPr>
                <w:sz w:val="18"/>
                <w:szCs w:val="18"/>
              </w:rPr>
            </w:pPr>
            <w:r w:rsidRPr="00E07BE3">
              <w:rPr>
                <w:spacing w:val="-10"/>
                <w:sz w:val="18"/>
                <w:szCs w:val="18"/>
              </w:rPr>
              <w:t>1</w:t>
            </w:r>
          </w:p>
        </w:tc>
        <w:tc>
          <w:tcPr>
            <w:tcW w:w="1701" w:type="dxa"/>
          </w:tcPr>
          <w:p w14:paraId="281065DB" w14:textId="77777777" w:rsidR="00243AF9" w:rsidRPr="00E07BE3" w:rsidRDefault="00243AF9" w:rsidP="00243AF9">
            <w:pPr>
              <w:pStyle w:val="TableParagraph"/>
              <w:spacing w:before="19" w:line="222" w:lineRule="exact"/>
              <w:jc w:val="center"/>
              <w:rPr>
                <w:sz w:val="18"/>
                <w:szCs w:val="18"/>
              </w:rPr>
            </w:pPr>
            <w:r w:rsidRPr="00E07BE3">
              <w:rPr>
                <w:spacing w:val="-5"/>
                <w:sz w:val="18"/>
                <w:szCs w:val="18"/>
              </w:rPr>
              <w:t>0.5</w:t>
            </w:r>
          </w:p>
        </w:tc>
      </w:tr>
      <w:tr w:rsidR="00243AF9" w:rsidRPr="00E07BE3" w14:paraId="3ED06EC9" w14:textId="77777777" w:rsidTr="00243AF9">
        <w:trPr>
          <w:trHeight w:val="58"/>
          <w:jc w:val="center"/>
        </w:trPr>
        <w:tc>
          <w:tcPr>
            <w:tcW w:w="4167" w:type="dxa"/>
          </w:tcPr>
          <w:p w14:paraId="283E6F01" w14:textId="77777777" w:rsidR="00243AF9" w:rsidRPr="00E07BE3" w:rsidRDefault="00243AF9" w:rsidP="004A2F9E">
            <w:pPr>
              <w:pStyle w:val="TableParagraph"/>
              <w:spacing w:before="5" w:line="223" w:lineRule="exact"/>
              <w:ind w:left="1126" w:right="474"/>
              <w:rPr>
                <w:sz w:val="18"/>
                <w:szCs w:val="18"/>
              </w:rPr>
            </w:pPr>
            <w:r w:rsidRPr="00E07BE3">
              <w:rPr>
                <w:sz w:val="18"/>
                <w:szCs w:val="18"/>
              </w:rPr>
              <w:t>Junior</w:t>
            </w:r>
            <w:r w:rsidRPr="00E07BE3">
              <w:rPr>
                <w:spacing w:val="-7"/>
                <w:sz w:val="18"/>
                <w:szCs w:val="18"/>
              </w:rPr>
              <w:t xml:space="preserve"> </w:t>
            </w:r>
            <w:r w:rsidRPr="00E07BE3">
              <w:rPr>
                <w:sz w:val="18"/>
                <w:szCs w:val="18"/>
              </w:rPr>
              <w:t>High</w:t>
            </w:r>
            <w:r w:rsidRPr="00E07BE3">
              <w:rPr>
                <w:spacing w:val="-5"/>
                <w:sz w:val="18"/>
                <w:szCs w:val="18"/>
              </w:rPr>
              <w:t xml:space="preserve"> </w:t>
            </w:r>
            <w:r w:rsidRPr="00E07BE3">
              <w:rPr>
                <w:sz w:val="18"/>
                <w:szCs w:val="18"/>
              </w:rPr>
              <w:t>School</w:t>
            </w:r>
            <w:r w:rsidRPr="00E07BE3">
              <w:rPr>
                <w:spacing w:val="-7"/>
                <w:sz w:val="18"/>
                <w:szCs w:val="18"/>
              </w:rPr>
              <w:t xml:space="preserve"> </w:t>
            </w:r>
            <w:r w:rsidRPr="00E07BE3">
              <w:rPr>
                <w:spacing w:val="-2"/>
                <w:sz w:val="18"/>
                <w:szCs w:val="18"/>
              </w:rPr>
              <w:t>Graduate</w:t>
            </w:r>
          </w:p>
        </w:tc>
        <w:tc>
          <w:tcPr>
            <w:tcW w:w="1665" w:type="dxa"/>
          </w:tcPr>
          <w:p w14:paraId="7E3546E9" w14:textId="77777777" w:rsidR="00243AF9" w:rsidRPr="00E07BE3" w:rsidRDefault="00243AF9" w:rsidP="00243AF9">
            <w:pPr>
              <w:pStyle w:val="TableParagraph"/>
              <w:spacing w:before="5" w:line="223" w:lineRule="exact"/>
              <w:jc w:val="center"/>
              <w:rPr>
                <w:sz w:val="18"/>
                <w:szCs w:val="18"/>
              </w:rPr>
            </w:pPr>
            <w:r w:rsidRPr="00E07BE3">
              <w:rPr>
                <w:spacing w:val="-10"/>
                <w:sz w:val="18"/>
                <w:szCs w:val="18"/>
              </w:rPr>
              <w:t>8</w:t>
            </w:r>
          </w:p>
        </w:tc>
        <w:tc>
          <w:tcPr>
            <w:tcW w:w="1701" w:type="dxa"/>
          </w:tcPr>
          <w:p w14:paraId="5CEE58C5" w14:textId="77777777" w:rsidR="00243AF9" w:rsidRPr="00E07BE3" w:rsidRDefault="00243AF9" w:rsidP="00243AF9">
            <w:pPr>
              <w:pStyle w:val="TableParagraph"/>
              <w:spacing w:before="5" w:line="223" w:lineRule="exact"/>
              <w:jc w:val="center"/>
              <w:rPr>
                <w:sz w:val="18"/>
                <w:szCs w:val="18"/>
              </w:rPr>
            </w:pPr>
            <w:r w:rsidRPr="00E07BE3">
              <w:rPr>
                <w:spacing w:val="-5"/>
                <w:sz w:val="18"/>
                <w:szCs w:val="18"/>
              </w:rPr>
              <w:t>4.3</w:t>
            </w:r>
          </w:p>
        </w:tc>
      </w:tr>
      <w:tr w:rsidR="00243AF9" w:rsidRPr="00E07BE3" w14:paraId="309CFDBB" w14:textId="77777777" w:rsidTr="00243AF9">
        <w:trPr>
          <w:trHeight w:val="58"/>
          <w:jc w:val="center"/>
        </w:trPr>
        <w:tc>
          <w:tcPr>
            <w:tcW w:w="4167" w:type="dxa"/>
          </w:tcPr>
          <w:p w14:paraId="5D36DA1A" w14:textId="77777777" w:rsidR="00243AF9" w:rsidRPr="00E07BE3" w:rsidRDefault="00243AF9" w:rsidP="004A2F9E">
            <w:pPr>
              <w:pStyle w:val="TableParagraph"/>
              <w:spacing w:before="6" w:line="222" w:lineRule="exact"/>
              <w:ind w:left="1126" w:right="440"/>
              <w:rPr>
                <w:sz w:val="18"/>
                <w:szCs w:val="18"/>
              </w:rPr>
            </w:pPr>
            <w:r w:rsidRPr="00E07BE3">
              <w:rPr>
                <w:sz w:val="18"/>
                <w:szCs w:val="18"/>
              </w:rPr>
              <w:t>Senior</w:t>
            </w:r>
            <w:r w:rsidRPr="00E07BE3">
              <w:rPr>
                <w:spacing w:val="-10"/>
                <w:sz w:val="18"/>
                <w:szCs w:val="18"/>
              </w:rPr>
              <w:t xml:space="preserve"> </w:t>
            </w:r>
            <w:r w:rsidRPr="00E07BE3">
              <w:rPr>
                <w:sz w:val="18"/>
                <w:szCs w:val="18"/>
              </w:rPr>
              <w:t>High</w:t>
            </w:r>
            <w:r w:rsidRPr="00E07BE3">
              <w:rPr>
                <w:spacing w:val="-5"/>
                <w:sz w:val="18"/>
                <w:szCs w:val="18"/>
              </w:rPr>
              <w:t xml:space="preserve"> </w:t>
            </w:r>
            <w:r w:rsidRPr="00E07BE3">
              <w:rPr>
                <w:sz w:val="18"/>
                <w:szCs w:val="18"/>
              </w:rPr>
              <w:t>School</w:t>
            </w:r>
            <w:r w:rsidRPr="00E07BE3">
              <w:rPr>
                <w:spacing w:val="-8"/>
                <w:sz w:val="18"/>
                <w:szCs w:val="18"/>
              </w:rPr>
              <w:t xml:space="preserve"> </w:t>
            </w:r>
            <w:r w:rsidRPr="00E07BE3">
              <w:rPr>
                <w:spacing w:val="-2"/>
                <w:sz w:val="18"/>
                <w:szCs w:val="18"/>
              </w:rPr>
              <w:t>Graduate</w:t>
            </w:r>
          </w:p>
        </w:tc>
        <w:tc>
          <w:tcPr>
            <w:tcW w:w="1665" w:type="dxa"/>
          </w:tcPr>
          <w:p w14:paraId="1C5A036B" w14:textId="77777777" w:rsidR="00243AF9" w:rsidRPr="00E07BE3" w:rsidRDefault="00243AF9" w:rsidP="00243AF9">
            <w:pPr>
              <w:pStyle w:val="TableParagraph"/>
              <w:spacing w:before="6" w:line="222" w:lineRule="exact"/>
              <w:jc w:val="center"/>
              <w:rPr>
                <w:sz w:val="18"/>
                <w:szCs w:val="18"/>
              </w:rPr>
            </w:pPr>
            <w:r w:rsidRPr="00E07BE3">
              <w:rPr>
                <w:spacing w:val="-5"/>
                <w:sz w:val="18"/>
                <w:szCs w:val="18"/>
              </w:rPr>
              <w:t>50</w:t>
            </w:r>
          </w:p>
        </w:tc>
        <w:tc>
          <w:tcPr>
            <w:tcW w:w="1701" w:type="dxa"/>
          </w:tcPr>
          <w:p w14:paraId="4441EFE5" w14:textId="77777777" w:rsidR="00243AF9" w:rsidRPr="00E07BE3" w:rsidRDefault="00243AF9" w:rsidP="00243AF9">
            <w:pPr>
              <w:pStyle w:val="TableParagraph"/>
              <w:spacing w:before="6" w:line="222" w:lineRule="exact"/>
              <w:jc w:val="center"/>
              <w:rPr>
                <w:sz w:val="18"/>
                <w:szCs w:val="18"/>
              </w:rPr>
            </w:pPr>
            <w:r w:rsidRPr="00E07BE3">
              <w:rPr>
                <w:spacing w:val="-4"/>
                <w:sz w:val="18"/>
                <w:szCs w:val="18"/>
              </w:rPr>
              <w:t>26.6</w:t>
            </w:r>
          </w:p>
        </w:tc>
      </w:tr>
      <w:tr w:rsidR="00243AF9" w:rsidRPr="00E07BE3" w14:paraId="65318DC0" w14:textId="77777777" w:rsidTr="00243AF9">
        <w:trPr>
          <w:trHeight w:val="248"/>
          <w:jc w:val="center"/>
        </w:trPr>
        <w:tc>
          <w:tcPr>
            <w:tcW w:w="4167" w:type="dxa"/>
          </w:tcPr>
          <w:p w14:paraId="11BECB19" w14:textId="77777777" w:rsidR="00243AF9" w:rsidRPr="00E07BE3" w:rsidRDefault="00243AF9" w:rsidP="004A2F9E">
            <w:pPr>
              <w:pStyle w:val="TableParagraph"/>
              <w:spacing w:before="5" w:line="223" w:lineRule="exact"/>
              <w:ind w:left="1126"/>
              <w:rPr>
                <w:sz w:val="18"/>
                <w:szCs w:val="18"/>
              </w:rPr>
            </w:pPr>
            <w:r w:rsidRPr="00E07BE3">
              <w:rPr>
                <w:sz w:val="18"/>
                <w:szCs w:val="18"/>
              </w:rPr>
              <w:t>Diploma</w:t>
            </w:r>
            <w:r w:rsidRPr="00E07BE3">
              <w:rPr>
                <w:spacing w:val="-9"/>
                <w:sz w:val="18"/>
                <w:szCs w:val="18"/>
              </w:rPr>
              <w:t xml:space="preserve"> </w:t>
            </w:r>
            <w:r w:rsidRPr="00E07BE3">
              <w:rPr>
                <w:spacing w:val="-2"/>
                <w:sz w:val="18"/>
                <w:szCs w:val="18"/>
              </w:rPr>
              <w:t>Graduate</w:t>
            </w:r>
          </w:p>
        </w:tc>
        <w:tc>
          <w:tcPr>
            <w:tcW w:w="1665" w:type="dxa"/>
          </w:tcPr>
          <w:p w14:paraId="5F824197" w14:textId="77777777" w:rsidR="00243AF9" w:rsidRPr="00E07BE3" w:rsidRDefault="00243AF9" w:rsidP="00243AF9">
            <w:pPr>
              <w:pStyle w:val="TableParagraph"/>
              <w:spacing w:before="5" w:line="223" w:lineRule="exact"/>
              <w:jc w:val="center"/>
              <w:rPr>
                <w:sz w:val="18"/>
                <w:szCs w:val="18"/>
              </w:rPr>
            </w:pPr>
            <w:r w:rsidRPr="00E07BE3">
              <w:rPr>
                <w:spacing w:val="-5"/>
                <w:sz w:val="18"/>
                <w:szCs w:val="18"/>
              </w:rPr>
              <w:t>52</w:t>
            </w:r>
          </w:p>
        </w:tc>
        <w:tc>
          <w:tcPr>
            <w:tcW w:w="1701" w:type="dxa"/>
          </w:tcPr>
          <w:p w14:paraId="231B30F3" w14:textId="77777777" w:rsidR="00243AF9" w:rsidRPr="00E07BE3" w:rsidRDefault="00243AF9" w:rsidP="00243AF9">
            <w:pPr>
              <w:pStyle w:val="TableParagraph"/>
              <w:spacing w:before="5" w:line="223" w:lineRule="exact"/>
              <w:jc w:val="center"/>
              <w:rPr>
                <w:sz w:val="18"/>
                <w:szCs w:val="18"/>
              </w:rPr>
            </w:pPr>
            <w:r w:rsidRPr="00E07BE3">
              <w:rPr>
                <w:spacing w:val="-4"/>
                <w:sz w:val="18"/>
                <w:szCs w:val="18"/>
              </w:rPr>
              <w:t>27.7</w:t>
            </w:r>
          </w:p>
        </w:tc>
      </w:tr>
      <w:tr w:rsidR="00243AF9" w:rsidRPr="00E07BE3" w14:paraId="5E71B043" w14:textId="77777777" w:rsidTr="00243AF9">
        <w:trPr>
          <w:trHeight w:val="248"/>
          <w:jc w:val="center"/>
        </w:trPr>
        <w:tc>
          <w:tcPr>
            <w:tcW w:w="4167" w:type="dxa"/>
          </w:tcPr>
          <w:p w14:paraId="3917F6C9" w14:textId="77777777" w:rsidR="00243AF9" w:rsidRPr="00E07BE3" w:rsidRDefault="00243AF9" w:rsidP="004A2F9E">
            <w:pPr>
              <w:pStyle w:val="TableParagraph"/>
              <w:spacing w:before="6" w:line="222" w:lineRule="exact"/>
              <w:ind w:left="1126"/>
              <w:rPr>
                <w:sz w:val="18"/>
                <w:szCs w:val="18"/>
              </w:rPr>
            </w:pPr>
            <w:r w:rsidRPr="00E07BE3">
              <w:rPr>
                <w:sz w:val="18"/>
                <w:szCs w:val="18"/>
              </w:rPr>
              <w:t>Degree</w:t>
            </w:r>
            <w:r w:rsidRPr="00E07BE3">
              <w:rPr>
                <w:spacing w:val="-11"/>
                <w:sz w:val="18"/>
                <w:szCs w:val="18"/>
              </w:rPr>
              <w:t xml:space="preserve"> </w:t>
            </w:r>
            <w:r w:rsidRPr="00E07BE3">
              <w:rPr>
                <w:spacing w:val="-2"/>
                <w:sz w:val="18"/>
                <w:szCs w:val="18"/>
              </w:rPr>
              <w:t>Graduate</w:t>
            </w:r>
          </w:p>
        </w:tc>
        <w:tc>
          <w:tcPr>
            <w:tcW w:w="1665" w:type="dxa"/>
          </w:tcPr>
          <w:p w14:paraId="67635668" w14:textId="77777777" w:rsidR="00243AF9" w:rsidRPr="00E07BE3" w:rsidRDefault="00243AF9" w:rsidP="00243AF9">
            <w:pPr>
              <w:pStyle w:val="TableParagraph"/>
              <w:spacing w:before="6" w:line="222" w:lineRule="exact"/>
              <w:jc w:val="center"/>
              <w:rPr>
                <w:sz w:val="18"/>
                <w:szCs w:val="18"/>
              </w:rPr>
            </w:pPr>
            <w:r w:rsidRPr="00E07BE3">
              <w:rPr>
                <w:spacing w:val="-5"/>
                <w:sz w:val="18"/>
                <w:szCs w:val="18"/>
              </w:rPr>
              <w:t>66</w:t>
            </w:r>
          </w:p>
        </w:tc>
        <w:tc>
          <w:tcPr>
            <w:tcW w:w="1701" w:type="dxa"/>
          </w:tcPr>
          <w:p w14:paraId="68F6C85E" w14:textId="77777777" w:rsidR="00243AF9" w:rsidRPr="00E07BE3" w:rsidRDefault="00243AF9" w:rsidP="00243AF9">
            <w:pPr>
              <w:pStyle w:val="TableParagraph"/>
              <w:spacing w:before="6" w:line="222" w:lineRule="exact"/>
              <w:jc w:val="center"/>
              <w:rPr>
                <w:sz w:val="18"/>
                <w:szCs w:val="18"/>
              </w:rPr>
            </w:pPr>
            <w:r w:rsidRPr="00E07BE3">
              <w:rPr>
                <w:spacing w:val="-4"/>
                <w:sz w:val="18"/>
                <w:szCs w:val="18"/>
              </w:rPr>
              <w:t>35.5</w:t>
            </w:r>
          </w:p>
        </w:tc>
      </w:tr>
      <w:tr w:rsidR="00243AF9" w:rsidRPr="00E07BE3" w14:paraId="08E8C2CF" w14:textId="77777777" w:rsidTr="00243AF9">
        <w:trPr>
          <w:trHeight w:val="247"/>
          <w:jc w:val="center"/>
        </w:trPr>
        <w:tc>
          <w:tcPr>
            <w:tcW w:w="4167" w:type="dxa"/>
          </w:tcPr>
          <w:p w14:paraId="4A83ECAE" w14:textId="77777777" w:rsidR="00243AF9" w:rsidRPr="00E07BE3" w:rsidRDefault="00243AF9" w:rsidP="004A2F9E">
            <w:pPr>
              <w:pStyle w:val="TableParagraph"/>
              <w:spacing w:before="5" w:line="222" w:lineRule="exact"/>
              <w:ind w:left="1126"/>
              <w:rPr>
                <w:sz w:val="18"/>
                <w:szCs w:val="18"/>
              </w:rPr>
            </w:pPr>
            <w:r w:rsidRPr="00E07BE3">
              <w:rPr>
                <w:sz w:val="18"/>
                <w:szCs w:val="18"/>
              </w:rPr>
              <w:t>Master</w:t>
            </w:r>
            <w:r w:rsidRPr="00E07BE3">
              <w:rPr>
                <w:spacing w:val="-7"/>
                <w:sz w:val="18"/>
                <w:szCs w:val="18"/>
              </w:rPr>
              <w:t xml:space="preserve"> </w:t>
            </w:r>
            <w:r w:rsidRPr="00E07BE3">
              <w:rPr>
                <w:spacing w:val="-2"/>
                <w:sz w:val="18"/>
                <w:szCs w:val="18"/>
              </w:rPr>
              <w:t>Graduate</w:t>
            </w:r>
          </w:p>
        </w:tc>
        <w:tc>
          <w:tcPr>
            <w:tcW w:w="1665" w:type="dxa"/>
          </w:tcPr>
          <w:p w14:paraId="421BB018" w14:textId="77777777" w:rsidR="00243AF9" w:rsidRPr="00E07BE3" w:rsidRDefault="00243AF9" w:rsidP="00243AF9">
            <w:pPr>
              <w:pStyle w:val="TableParagraph"/>
              <w:spacing w:before="5" w:line="222" w:lineRule="exact"/>
              <w:jc w:val="center"/>
              <w:rPr>
                <w:sz w:val="18"/>
                <w:szCs w:val="18"/>
              </w:rPr>
            </w:pPr>
            <w:r w:rsidRPr="00E07BE3">
              <w:rPr>
                <w:spacing w:val="-5"/>
                <w:sz w:val="18"/>
                <w:szCs w:val="18"/>
              </w:rPr>
              <w:t>10</w:t>
            </w:r>
          </w:p>
        </w:tc>
        <w:tc>
          <w:tcPr>
            <w:tcW w:w="1701" w:type="dxa"/>
          </w:tcPr>
          <w:p w14:paraId="3B3F5D3D" w14:textId="77777777" w:rsidR="00243AF9" w:rsidRPr="00E07BE3" w:rsidRDefault="00243AF9" w:rsidP="00243AF9">
            <w:pPr>
              <w:pStyle w:val="TableParagraph"/>
              <w:spacing w:before="5" w:line="222" w:lineRule="exact"/>
              <w:jc w:val="center"/>
              <w:rPr>
                <w:sz w:val="18"/>
                <w:szCs w:val="18"/>
              </w:rPr>
            </w:pPr>
            <w:r w:rsidRPr="00E07BE3">
              <w:rPr>
                <w:spacing w:val="-5"/>
                <w:sz w:val="18"/>
                <w:szCs w:val="18"/>
              </w:rPr>
              <w:t>5.3</w:t>
            </w:r>
          </w:p>
        </w:tc>
      </w:tr>
      <w:tr w:rsidR="00243AF9" w:rsidRPr="00E07BE3" w14:paraId="7B40A908" w14:textId="77777777" w:rsidTr="00243AF9">
        <w:trPr>
          <w:trHeight w:val="58"/>
          <w:jc w:val="center"/>
        </w:trPr>
        <w:tc>
          <w:tcPr>
            <w:tcW w:w="4167" w:type="dxa"/>
          </w:tcPr>
          <w:p w14:paraId="648623EA" w14:textId="77777777" w:rsidR="00243AF9" w:rsidRPr="00E07BE3" w:rsidRDefault="00243AF9" w:rsidP="004A2F9E">
            <w:pPr>
              <w:pStyle w:val="TableParagraph"/>
              <w:spacing w:before="5"/>
              <w:ind w:left="1126"/>
              <w:rPr>
                <w:sz w:val="18"/>
                <w:szCs w:val="18"/>
              </w:rPr>
            </w:pPr>
            <w:r w:rsidRPr="00E07BE3">
              <w:rPr>
                <w:sz w:val="18"/>
                <w:szCs w:val="18"/>
              </w:rPr>
              <w:t>PhD</w:t>
            </w:r>
            <w:r w:rsidRPr="00E07BE3">
              <w:rPr>
                <w:spacing w:val="-6"/>
                <w:sz w:val="18"/>
                <w:szCs w:val="18"/>
              </w:rPr>
              <w:t xml:space="preserve"> </w:t>
            </w:r>
            <w:r w:rsidRPr="00E07BE3">
              <w:rPr>
                <w:spacing w:val="-2"/>
                <w:sz w:val="18"/>
                <w:szCs w:val="18"/>
              </w:rPr>
              <w:t>Graduate</w:t>
            </w:r>
          </w:p>
        </w:tc>
        <w:tc>
          <w:tcPr>
            <w:tcW w:w="1665" w:type="dxa"/>
          </w:tcPr>
          <w:p w14:paraId="091CA200" w14:textId="77777777" w:rsidR="00243AF9" w:rsidRPr="00E07BE3" w:rsidRDefault="00243AF9" w:rsidP="00243AF9">
            <w:pPr>
              <w:pStyle w:val="TableParagraph"/>
              <w:spacing w:before="5"/>
              <w:jc w:val="center"/>
              <w:rPr>
                <w:sz w:val="18"/>
                <w:szCs w:val="18"/>
              </w:rPr>
            </w:pPr>
            <w:r w:rsidRPr="00E07BE3">
              <w:rPr>
                <w:spacing w:val="-10"/>
                <w:sz w:val="18"/>
                <w:szCs w:val="18"/>
              </w:rPr>
              <w:t>1</w:t>
            </w:r>
          </w:p>
        </w:tc>
        <w:tc>
          <w:tcPr>
            <w:tcW w:w="1701" w:type="dxa"/>
          </w:tcPr>
          <w:p w14:paraId="2A7F933F" w14:textId="77777777" w:rsidR="00243AF9" w:rsidRPr="00E07BE3" w:rsidRDefault="00243AF9" w:rsidP="00243AF9">
            <w:pPr>
              <w:pStyle w:val="TableParagraph"/>
              <w:spacing w:before="5"/>
              <w:jc w:val="center"/>
              <w:rPr>
                <w:sz w:val="18"/>
                <w:szCs w:val="18"/>
              </w:rPr>
            </w:pPr>
            <w:r w:rsidRPr="00E07BE3">
              <w:rPr>
                <w:spacing w:val="-5"/>
                <w:sz w:val="18"/>
                <w:szCs w:val="18"/>
              </w:rPr>
              <w:t>0.5</w:t>
            </w:r>
          </w:p>
        </w:tc>
      </w:tr>
      <w:tr w:rsidR="00243AF9" w:rsidRPr="00E07BE3" w14:paraId="04F6FD8D" w14:textId="77777777" w:rsidTr="00243AF9">
        <w:trPr>
          <w:trHeight w:val="58"/>
          <w:jc w:val="center"/>
        </w:trPr>
        <w:tc>
          <w:tcPr>
            <w:tcW w:w="4167" w:type="dxa"/>
          </w:tcPr>
          <w:p w14:paraId="22B46EBF" w14:textId="00BFA700" w:rsidR="00243AF9" w:rsidRPr="00E07BE3" w:rsidRDefault="00243AF9" w:rsidP="00243AF9">
            <w:pPr>
              <w:pStyle w:val="TableParagraph"/>
              <w:spacing w:before="21"/>
              <w:ind w:left="70"/>
              <w:rPr>
                <w:sz w:val="18"/>
                <w:szCs w:val="18"/>
              </w:rPr>
            </w:pPr>
            <w:r w:rsidRPr="00E07BE3">
              <w:rPr>
                <w:sz w:val="18"/>
                <w:szCs w:val="18"/>
              </w:rPr>
              <w:t>Average</w:t>
            </w:r>
            <w:r w:rsidRPr="00E07BE3">
              <w:rPr>
                <w:spacing w:val="-11"/>
                <w:sz w:val="18"/>
                <w:szCs w:val="18"/>
              </w:rPr>
              <w:t xml:space="preserve"> </w:t>
            </w:r>
            <w:r w:rsidRPr="00E07BE3">
              <w:rPr>
                <w:spacing w:val="-2"/>
                <w:sz w:val="18"/>
                <w:szCs w:val="18"/>
              </w:rPr>
              <w:t>Monthly</w:t>
            </w:r>
            <w:r>
              <w:rPr>
                <w:spacing w:val="-2"/>
                <w:sz w:val="18"/>
                <w:szCs w:val="18"/>
              </w:rPr>
              <w:t>:</w:t>
            </w:r>
          </w:p>
        </w:tc>
        <w:tc>
          <w:tcPr>
            <w:tcW w:w="1665" w:type="dxa"/>
          </w:tcPr>
          <w:p w14:paraId="27955A66" w14:textId="6CB8648E" w:rsidR="00243AF9" w:rsidRPr="00E07BE3" w:rsidRDefault="00243AF9" w:rsidP="00243AF9">
            <w:pPr>
              <w:pStyle w:val="TableParagraph"/>
              <w:spacing w:line="222" w:lineRule="exact"/>
              <w:jc w:val="center"/>
              <w:rPr>
                <w:sz w:val="18"/>
                <w:szCs w:val="18"/>
              </w:rPr>
            </w:pPr>
          </w:p>
        </w:tc>
        <w:tc>
          <w:tcPr>
            <w:tcW w:w="1701" w:type="dxa"/>
          </w:tcPr>
          <w:p w14:paraId="1E5A302D" w14:textId="1CDD3148" w:rsidR="00243AF9" w:rsidRPr="00E07BE3" w:rsidRDefault="00243AF9" w:rsidP="00243AF9">
            <w:pPr>
              <w:pStyle w:val="TableParagraph"/>
              <w:spacing w:line="222" w:lineRule="exact"/>
              <w:jc w:val="center"/>
              <w:rPr>
                <w:sz w:val="18"/>
                <w:szCs w:val="18"/>
              </w:rPr>
            </w:pPr>
          </w:p>
        </w:tc>
      </w:tr>
      <w:tr w:rsidR="00243AF9" w:rsidRPr="00E07BE3" w14:paraId="06A3DC0D" w14:textId="77777777" w:rsidTr="00243AF9">
        <w:trPr>
          <w:trHeight w:val="58"/>
          <w:jc w:val="center"/>
        </w:trPr>
        <w:tc>
          <w:tcPr>
            <w:tcW w:w="4167" w:type="dxa"/>
          </w:tcPr>
          <w:p w14:paraId="55779E9D" w14:textId="1FC6C488" w:rsidR="00243AF9" w:rsidRPr="00E07BE3" w:rsidRDefault="00243AF9" w:rsidP="004A2F9E">
            <w:pPr>
              <w:pStyle w:val="TableParagraph"/>
              <w:spacing w:before="21"/>
              <w:ind w:left="1134"/>
              <w:rPr>
                <w:sz w:val="18"/>
                <w:szCs w:val="18"/>
              </w:rPr>
            </w:pPr>
            <w:r w:rsidRPr="00E07BE3">
              <w:rPr>
                <w:sz w:val="18"/>
                <w:szCs w:val="18"/>
              </w:rPr>
              <w:t>RM</w:t>
            </w:r>
            <w:r w:rsidRPr="00E07BE3">
              <w:rPr>
                <w:spacing w:val="-4"/>
                <w:sz w:val="18"/>
                <w:szCs w:val="18"/>
              </w:rPr>
              <w:t xml:space="preserve"> </w:t>
            </w:r>
            <w:r w:rsidRPr="00E07BE3">
              <w:rPr>
                <w:sz w:val="18"/>
                <w:szCs w:val="18"/>
              </w:rPr>
              <w:t>2,000</w:t>
            </w:r>
            <w:r w:rsidRPr="00E07BE3">
              <w:rPr>
                <w:spacing w:val="-3"/>
                <w:sz w:val="18"/>
                <w:szCs w:val="18"/>
              </w:rPr>
              <w:t xml:space="preserve"> </w:t>
            </w:r>
            <w:r w:rsidRPr="00E07BE3">
              <w:rPr>
                <w:sz w:val="18"/>
                <w:szCs w:val="18"/>
              </w:rPr>
              <w:t>and</w:t>
            </w:r>
            <w:r w:rsidRPr="00E07BE3">
              <w:rPr>
                <w:spacing w:val="-4"/>
                <w:sz w:val="18"/>
                <w:szCs w:val="18"/>
              </w:rPr>
              <w:t xml:space="preserve"> below</w:t>
            </w:r>
          </w:p>
        </w:tc>
        <w:tc>
          <w:tcPr>
            <w:tcW w:w="1665" w:type="dxa"/>
          </w:tcPr>
          <w:p w14:paraId="690CCA18" w14:textId="78ABCBD3" w:rsidR="00243AF9" w:rsidRPr="00E07BE3" w:rsidRDefault="00243AF9" w:rsidP="00243AF9">
            <w:pPr>
              <w:pStyle w:val="TableParagraph"/>
              <w:spacing w:before="38"/>
              <w:jc w:val="center"/>
              <w:rPr>
                <w:i/>
                <w:sz w:val="18"/>
                <w:szCs w:val="18"/>
              </w:rPr>
            </w:pPr>
            <w:r w:rsidRPr="00E07BE3">
              <w:rPr>
                <w:spacing w:val="-5"/>
                <w:sz w:val="18"/>
                <w:szCs w:val="18"/>
              </w:rPr>
              <w:t>102</w:t>
            </w:r>
          </w:p>
        </w:tc>
        <w:tc>
          <w:tcPr>
            <w:tcW w:w="1701" w:type="dxa"/>
          </w:tcPr>
          <w:p w14:paraId="2AB1EB7D" w14:textId="1EBE7897" w:rsidR="00243AF9" w:rsidRPr="00E07BE3" w:rsidRDefault="00243AF9" w:rsidP="00243AF9">
            <w:pPr>
              <w:pStyle w:val="TableParagraph"/>
              <w:spacing w:before="38"/>
              <w:jc w:val="center"/>
              <w:rPr>
                <w:i/>
                <w:sz w:val="18"/>
                <w:szCs w:val="18"/>
              </w:rPr>
            </w:pPr>
            <w:r w:rsidRPr="00E07BE3">
              <w:rPr>
                <w:spacing w:val="-4"/>
                <w:sz w:val="18"/>
                <w:szCs w:val="18"/>
              </w:rPr>
              <w:t>54.3</w:t>
            </w:r>
          </w:p>
        </w:tc>
      </w:tr>
      <w:tr w:rsidR="00243AF9" w:rsidRPr="00E07BE3" w14:paraId="0315D7A4" w14:textId="77777777" w:rsidTr="00243AF9">
        <w:trPr>
          <w:trHeight w:val="234"/>
          <w:jc w:val="center"/>
        </w:trPr>
        <w:tc>
          <w:tcPr>
            <w:tcW w:w="4167" w:type="dxa"/>
          </w:tcPr>
          <w:p w14:paraId="1269BD7A" w14:textId="77777777" w:rsidR="00243AF9" w:rsidRPr="00E07BE3" w:rsidRDefault="00243AF9" w:rsidP="004A2F9E">
            <w:pPr>
              <w:pStyle w:val="TableParagraph"/>
              <w:spacing w:before="5" w:line="210" w:lineRule="exact"/>
              <w:ind w:left="1134"/>
              <w:rPr>
                <w:sz w:val="18"/>
                <w:szCs w:val="18"/>
              </w:rPr>
            </w:pPr>
            <w:r w:rsidRPr="00E07BE3">
              <w:rPr>
                <w:sz w:val="18"/>
                <w:szCs w:val="18"/>
              </w:rPr>
              <w:t>RM</w:t>
            </w:r>
            <w:r w:rsidRPr="00E07BE3">
              <w:rPr>
                <w:spacing w:val="-3"/>
                <w:sz w:val="18"/>
                <w:szCs w:val="18"/>
              </w:rPr>
              <w:t xml:space="preserve"> </w:t>
            </w:r>
            <w:r w:rsidRPr="00E07BE3">
              <w:rPr>
                <w:sz w:val="18"/>
                <w:szCs w:val="18"/>
              </w:rPr>
              <w:t>2,001</w:t>
            </w:r>
            <w:r w:rsidRPr="00E07BE3">
              <w:rPr>
                <w:spacing w:val="-1"/>
                <w:sz w:val="18"/>
                <w:szCs w:val="18"/>
              </w:rPr>
              <w:t xml:space="preserve"> </w:t>
            </w:r>
            <w:r w:rsidRPr="00E07BE3">
              <w:rPr>
                <w:sz w:val="18"/>
                <w:szCs w:val="18"/>
              </w:rPr>
              <w:t>–</w:t>
            </w:r>
            <w:r w:rsidRPr="00E07BE3">
              <w:rPr>
                <w:spacing w:val="-4"/>
                <w:sz w:val="18"/>
                <w:szCs w:val="18"/>
              </w:rPr>
              <w:t xml:space="preserve"> </w:t>
            </w:r>
            <w:r w:rsidRPr="00E07BE3">
              <w:rPr>
                <w:sz w:val="18"/>
                <w:szCs w:val="18"/>
              </w:rPr>
              <w:t>RM</w:t>
            </w:r>
            <w:r w:rsidRPr="00E07BE3">
              <w:rPr>
                <w:spacing w:val="-2"/>
                <w:sz w:val="18"/>
                <w:szCs w:val="18"/>
              </w:rPr>
              <w:t xml:space="preserve"> </w:t>
            </w:r>
            <w:r w:rsidRPr="00E07BE3">
              <w:rPr>
                <w:spacing w:val="-4"/>
                <w:sz w:val="18"/>
                <w:szCs w:val="18"/>
              </w:rPr>
              <w:t>4,000</w:t>
            </w:r>
          </w:p>
        </w:tc>
        <w:tc>
          <w:tcPr>
            <w:tcW w:w="1665" w:type="dxa"/>
          </w:tcPr>
          <w:p w14:paraId="7D96AE15" w14:textId="77777777" w:rsidR="00243AF9" w:rsidRPr="00E07BE3" w:rsidRDefault="00243AF9" w:rsidP="00243AF9">
            <w:pPr>
              <w:pStyle w:val="TableParagraph"/>
              <w:spacing w:before="5" w:line="210" w:lineRule="exact"/>
              <w:jc w:val="center"/>
              <w:rPr>
                <w:sz w:val="18"/>
                <w:szCs w:val="18"/>
              </w:rPr>
            </w:pPr>
            <w:r w:rsidRPr="00E07BE3">
              <w:rPr>
                <w:spacing w:val="-5"/>
                <w:sz w:val="18"/>
                <w:szCs w:val="18"/>
              </w:rPr>
              <w:t>66</w:t>
            </w:r>
          </w:p>
        </w:tc>
        <w:tc>
          <w:tcPr>
            <w:tcW w:w="1701" w:type="dxa"/>
          </w:tcPr>
          <w:p w14:paraId="18A167BF" w14:textId="77777777" w:rsidR="00243AF9" w:rsidRPr="00E07BE3" w:rsidRDefault="00243AF9" w:rsidP="00243AF9">
            <w:pPr>
              <w:pStyle w:val="TableParagraph"/>
              <w:spacing w:before="5" w:line="210" w:lineRule="exact"/>
              <w:jc w:val="center"/>
              <w:rPr>
                <w:sz w:val="18"/>
                <w:szCs w:val="18"/>
              </w:rPr>
            </w:pPr>
            <w:r w:rsidRPr="00E07BE3">
              <w:rPr>
                <w:spacing w:val="-4"/>
                <w:sz w:val="18"/>
                <w:szCs w:val="18"/>
              </w:rPr>
              <w:t>35.1</w:t>
            </w:r>
          </w:p>
        </w:tc>
      </w:tr>
      <w:tr w:rsidR="00243AF9" w:rsidRPr="00E07BE3" w14:paraId="322C1A6E" w14:textId="77777777" w:rsidTr="00243AF9">
        <w:trPr>
          <w:trHeight w:val="234"/>
          <w:jc w:val="center"/>
        </w:trPr>
        <w:tc>
          <w:tcPr>
            <w:tcW w:w="4167" w:type="dxa"/>
          </w:tcPr>
          <w:p w14:paraId="77FE6C77" w14:textId="77777777" w:rsidR="00243AF9" w:rsidRPr="00E07BE3" w:rsidRDefault="00243AF9" w:rsidP="004A2F9E">
            <w:pPr>
              <w:pStyle w:val="TableParagraph"/>
              <w:spacing w:before="5" w:line="210" w:lineRule="exact"/>
              <w:ind w:left="1134"/>
              <w:rPr>
                <w:sz w:val="18"/>
                <w:szCs w:val="18"/>
              </w:rPr>
            </w:pPr>
            <w:r w:rsidRPr="00E07BE3">
              <w:rPr>
                <w:sz w:val="18"/>
                <w:szCs w:val="18"/>
              </w:rPr>
              <w:t>RM</w:t>
            </w:r>
            <w:r w:rsidRPr="00E07BE3">
              <w:rPr>
                <w:spacing w:val="-3"/>
                <w:sz w:val="18"/>
                <w:szCs w:val="18"/>
              </w:rPr>
              <w:t xml:space="preserve"> </w:t>
            </w:r>
            <w:r w:rsidRPr="00E07BE3">
              <w:rPr>
                <w:sz w:val="18"/>
                <w:szCs w:val="18"/>
              </w:rPr>
              <w:t>4,001</w:t>
            </w:r>
            <w:r w:rsidRPr="00E07BE3">
              <w:rPr>
                <w:spacing w:val="-1"/>
                <w:sz w:val="18"/>
                <w:szCs w:val="18"/>
              </w:rPr>
              <w:t xml:space="preserve"> </w:t>
            </w:r>
            <w:r w:rsidRPr="00E07BE3">
              <w:rPr>
                <w:sz w:val="18"/>
                <w:szCs w:val="18"/>
              </w:rPr>
              <w:t>–</w:t>
            </w:r>
            <w:r w:rsidRPr="00E07BE3">
              <w:rPr>
                <w:spacing w:val="-4"/>
                <w:sz w:val="18"/>
                <w:szCs w:val="18"/>
              </w:rPr>
              <w:t xml:space="preserve"> </w:t>
            </w:r>
            <w:r w:rsidRPr="00E07BE3">
              <w:rPr>
                <w:sz w:val="18"/>
                <w:szCs w:val="18"/>
              </w:rPr>
              <w:t>RM</w:t>
            </w:r>
            <w:r w:rsidRPr="00E07BE3">
              <w:rPr>
                <w:spacing w:val="-2"/>
                <w:sz w:val="18"/>
                <w:szCs w:val="18"/>
              </w:rPr>
              <w:t xml:space="preserve"> </w:t>
            </w:r>
            <w:r w:rsidRPr="00E07BE3">
              <w:rPr>
                <w:spacing w:val="-4"/>
                <w:sz w:val="18"/>
                <w:szCs w:val="18"/>
              </w:rPr>
              <w:t>6,000</w:t>
            </w:r>
          </w:p>
        </w:tc>
        <w:tc>
          <w:tcPr>
            <w:tcW w:w="1665" w:type="dxa"/>
          </w:tcPr>
          <w:p w14:paraId="769412C8" w14:textId="77777777" w:rsidR="00243AF9" w:rsidRPr="00E07BE3" w:rsidRDefault="00243AF9" w:rsidP="00243AF9">
            <w:pPr>
              <w:pStyle w:val="TableParagraph"/>
              <w:spacing w:before="5" w:line="210" w:lineRule="exact"/>
              <w:jc w:val="center"/>
              <w:rPr>
                <w:spacing w:val="-5"/>
                <w:sz w:val="18"/>
                <w:szCs w:val="18"/>
              </w:rPr>
            </w:pPr>
            <w:r w:rsidRPr="00E07BE3">
              <w:rPr>
                <w:spacing w:val="-5"/>
                <w:sz w:val="18"/>
                <w:szCs w:val="18"/>
              </w:rPr>
              <w:t>14</w:t>
            </w:r>
          </w:p>
        </w:tc>
        <w:tc>
          <w:tcPr>
            <w:tcW w:w="1701" w:type="dxa"/>
          </w:tcPr>
          <w:p w14:paraId="29A175AC" w14:textId="77777777" w:rsidR="00243AF9" w:rsidRPr="00E07BE3" w:rsidRDefault="00243AF9" w:rsidP="00243AF9">
            <w:pPr>
              <w:pStyle w:val="TableParagraph"/>
              <w:spacing w:before="5" w:line="210" w:lineRule="exact"/>
              <w:jc w:val="center"/>
              <w:rPr>
                <w:spacing w:val="-4"/>
                <w:sz w:val="18"/>
                <w:szCs w:val="18"/>
              </w:rPr>
            </w:pPr>
            <w:r w:rsidRPr="00E07BE3">
              <w:rPr>
                <w:spacing w:val="-5"/>
                <w:sz w:val="18"/>
                <w:szCs w:val="18"/>
              </w:rPr>
              <w:t>7.4</w:t>
            </w:r>
          </w:p>
        </w:tc>
      </w:tr>
      <w:tr w:rsidR="00243AF9" w:rsidRPr="00E07BE3" w14:paraId="11D68284" w14:textId="77777777" w:rsidTr="00243AF9">
        <w:trPr>
          <w:trHeight w:val="234"/>
          <w:jc w:val="center"/>
        </w:trPr>
        <w:tc>
          <w:tcPr>
            <w:tcW w:w="4167" w:type="dxa"/>
          </w:tcPr>
          <w:p w14:paraId="60FECAB8" w14:textId="77777777" w:rsidR="00243AF9" w:rsidRPr="00E07BE3" w:rsidRDefault="00243AF9" w:rsidP="004A2F9E">
            <w:pPr>
              <w:pStyle w:val="TableParagraph"/>
              <w:spacing w:before="5" w:line="210" w:lineRule="exact"/>
              <w:ind w:left="1134"/>
              <w:rPr>
                <w:sz w:val="18"/>
                <w:szCs w:val="18"/>
              </w:rPr>
            </w:pPr>
            <w:r w:rsidRPr="00E07BE3">
              <w:rPr>
                <w:sz w:val="18"/>
                <w:szCs w:val="18"/>
              </w:rPr>
              <w:t>RM</w:t>
            </w:r>
            <w:r w:rsidRPr="00E07BE3">
              <w:rPr>
                <w:spacing w:val="-3"/>
                <w:sz w:val="18"/>
                <w:szCs w:val="18"/>
              </w:rPr>
              <w:t xml:space="preserve"> </w:t>
            </w:r>
            <w:r w:rsidRPr="00E07BE3">
              <w:rPr>
                <w:sz w:val="18"/>
                <w:szCs w:val="18"/>
              </w:rPr>
              <w:t>6,001</w:t>
            </w:r>
            <w:r w:rsidRPr="00E07BE3">
              <w:rPr>
                <w:spacing w:val="-1"/>
                <w:sz w:val="18"/>
                <w:szCs w:val="18"/>
              </w:rPr>
              <w:t xml:space="preserve"> </w:t>
            </w:r>
            <w:r w:rsidRPr="00E07BE3">
              <w:rPr>
                <w:sz w:val="18"/>
                <w:szCs w:val="18"/>
              </w:rPr>
              <w:t>–</w:t>
            </w:r>
            <w:r w:rsidRPr="00E07BE3">
              <w:rPr>
                <w:spacing w:val="-4"/>
                <w:sz w:val="18"/>
                <w:szCs w:val="18"/>
              </w:rPr>
              <w:t xml:space="preserve"> </w:t>
            </w:r>
            <w:r w:rsidRPr="00E07BE3">
              <w:rPr>
                <w:sz w:val="18"/>
                <w:szCs w:val="18"/>
              </w:rPr>
              <w:t>RM</w:t>
            </w:r>
            <w:r w:rsidRPr="00E07BE3">
              <w:rPr>
                <w:spacing w:val="-2"/>
                <w:sz w:val="18"/>
                <w:szCs w:val="18"/>
              </w:rPr>
              <w:t xml:space="preserve"> </w:t>
            </w:r>
            <w:r w:rsidRPr="00E07BE3">
              <w:rPr>
                <w:spacing w:val="-4"/>
                <w:sz w:val="18"/>
                <w:szCs w:val="18"/>
              </w:rPr>
              <w:t>8,000</w:t>
            </w:r>
          </w:p>
        </w:tc>
        <w:tc>
          <w:tcPr>
            <w:tcW w:w="1665" w:type="dxa"/>
          </w:tcPr>
          <w:p w14:paraId="29B3F01A" w14:textId="77777777" w:rsidR="00243AF9" w:rsidRPr="00E07BE3" w:rsidRDefault="00243AF9" w:rsidP="00243AF9">
            <w:pPr>
              <w:pStyle w:val="TableParagraph"/>
              <w:spacing w:before="5" w:line="210" w:lineRule="exact"/>
              <w:jc w:val="center"/>
              <w:rPr>
                <w:spacing w:val="-5"/>
                <w:sz w:val="18"/>
                <w:szCs w:val="18"/>
              </w:rPr>
            </w:pPr>
            <w:r w:rsidRPr="00E07BE3">
              <w:rPr>
                <w:spacing w:val="-10"/>
                <w:sz w:val="18"/>
                <w:szCs w:val="18"/>
              </w:rPr>
              <w:t>5</w:t>
            </w:r>
          </w:p>
        </w:tc>
        <w:tc>
          <w:tcPr>
            <w:tcW w:w="1701" w:type="dxa"/>
          </w:tcPr>
          <w:p w14:paraId="770EE790" w14:textId="77777777" w:rsidR="00243AF9" w:rsidRPr="00E07BE3" w:rsidRDefault="00243AF9" w:rsidP="00243AF9">
            <w:pPr>
              <w:pStyle w:val="TableParagraph"/>
              <w:spacing w:before="5" w:line="210" w:lineRule="exact"/>
              <w:jc w:val="center"/>
              <w:rPr>
                <w:spacing w:val="-4"/>
                <w:sz w:val="18"/>
                <w:szCs w:val="18"/>
              </w:rPr>
            </w:pPr>
            <w:r w:rsidRPr="00E07BE3">
              <w:rPr>
                <w:spacing w:val="-5"/>
                <w:sz w:val="18"/>
                <w:szCs w:val="18"/>
              </w:rPr>
              <w:t>2.7</w:t>
            </w:r>
          </w:p>
        </w:tc>
      </w:tr>
      <w:tr w:rsidR="00243AF9" w:rsidRPr="00E07BE3" w14:paraId="1CB43C2B" w14:textId="77777777" w:rsidTr="00243AF9">
        <w:trPr>
          <w:trHeight w:val="234"/>
          <w:jc w:val="center"/>
        </w:trPr>
        <w:tc>
          <w:tcPr>
            <w:tcW w:w="4167" w:type="dxa"/>
          </w:tcPr>
          <w:p w14:paraId="6D59B786" w14:textId="77777777" w:rsidR="00243AF9" w:rsidRPr="00E07BE3" w:rsidRDefault="00243AF9" w:rsidP="004A2F9E">
            <w:pPr>
              <w:pStyle w:val="TableParagraph"/>
              <w:spacing w:before="5" w:line="210" w:lineRule="exact"/>
              <w:ind w:left="1134"/>
              <w:rPr>
                <w:sz w:val="18"/>
                <w:szCs w:val="18"/>
              </w:rPr>
            </w:pPr>
            <w:r w:rsidRPr="00E07BE3">
              <w:rPr>
                <w:sz w:val="18"/>
                <w:szCs w:val="18"/>
              </w:rPr>
              <w:t>RM</w:t>
            </w:r>
            <w:r w:rsidRPr="00E07BE3">
              <w:rPr>
                <w:spacing w:val="-3"/>
                <w:sz w:val="18"/>
                <w:szCs w:val="18"/>
              </w:rPr>
              <w:t xml:space="preserve"> </w:t>
            </w:r>
            <w:r w:rsidRPr="00E07BE3">
              <w:rPr>
                <w:sz w:val="18"/>
                <w:szCs w:val="18"/>
              </w:rPr>
              <w:t>8,001</w:t>
            </w:r>
            <w:r w:rsidRPr="00E07BE3">
              <w:rPr>
                <w:spacing w:val="-1"/>
                <w:sz w:val="18"/>
                <w:szCs w:val="18"/>
              </w:rPr>
              <w:t xml:space="preserve"> </w:t>
            </w:r>
            <w:r w:rsidRPr="00E07BE3">
              <w:rPr>
                <w:sz w:val="18"/>
                <w:szCs w:val="18"/>
              </w:rPr>
              <w:t>–</w:t>
            </w:r>
            <w:r w:rsidRPr="00E07BE3">
              <w:rPr>
                <w:spacing w:val="-4"/>
                <w:sz w:val="18"/>
                <w:szCs w:val="18"/>
              </w:rPr>
              <w:t xml:space="preserve"> </w:t>
            </w:r>
            <w:r w:rsidRPr="00E07BE3">
              <w:rPr>
                <w:sz w:val="18"/>
                <w:szCs w:val="18"/>
              </w:rPr>
              <w:t>RM</w:t>
            </w:r>
            <w:r w:rsidRPr="00E07BE3">
              <w:rPr>
                <w:spacing w:val="-2"/>
                <w:sz w:val="18"/>
                <w:szCs w:val="18"/>
              </w:rPr>
              <w:t xml:space="preserve"> 10,000</w:t>
            </w:r>
          </w:p>
        </w:tc>
        <w:tc>
          <w:tcPr>
            <w:tcW w:w="1665" w:type="dxa"/>
          </w:tcPr>
          <w:p w14:paraId="25E28B03" w14:textId="77777777" w:rsidR="00243AF9" w:rsidRPr="00E07BE3" w:rsidRDefault="00243AF9" w:rsidP="00243AF9">
            <w:pPr>
              <w:pStyle w:val="TableParagraph"/>
              <w:spacing w:before="5" w:line="210" w:lineRule="exact"/>
              <w:jc w:val="center"/>
              <w:rPr>
                <w:spacing w:val="-5"/>
                <w:sz w:val="18"/>
                <w:szCs w:val="18"/>
              </w:rPr>
            </w:pPr>
            <w:r w:rsidRPr="00E07BE3">
              <w:rPr>
                <w:spacing w:val="-10"/>
                <w:sz w:val="18"/>
                <w:szCs w:val="18"/>
              </w:rPr>
              <w:t>1</w:t>
            </w:r>
          </w:p>
        </w:tc>
        <w:tc>
          <w:tcPr>
            <w:tcW w:w="1701" w:type="dxa"/>
          </w:tcPr>
          <w:p w14:paraId="7EFBCB53" w14:textId="77777777" w:rsidR="00243AF9" w:rsidRPr="00E07BE3" w:rsidRDefault="00243AF9" w:rsidP="00243AF9">
            <w:pPr>
              <w:pStyle w:val="TableParagraph"/>
              <w:spacing w:before="5" w:line="210" w:lineRule="exact"/>
              <w:jc w:val="center"/>
              <w:rPr>
                <w:spacing w:val="-4"/>
                <w:sz w:val="18"/>
                <w:szCs w:val="18"/>
              </w:rPr>
            </w:pPr>
            <w:r w:rsidRPr="00E07BE3">
              <w:rPr>
                <w:spacing w:val="-5"/>
                <w:sz w:val="18"/>
                <w:szCs w:val="18"/>
              </w:rPr>
              <w:t>0.5</w:t>
            </w:r>
          </w:p>
        </w:tc>
      </w:tr>
      <w:tr w:rsidR="00243AF9" w:rsidRPr="00E07BE3" w14:paraId="2365117F" w14:textId="77777777" w:rsidTr="00243AF9">
        <w:trPr>
          <w:trHeight w:val="58"/>
          <w:jc w:val="center"/>
        </w:trPr>
        <w:tc>
          <w:tcPr>
            <w:tcW w:w="4167" w:type="dxa"/>
          </w:tcPr>
          <w:p w14:paraId="497511C4" w14:textId="77777777" w:rsidR="00243AF9" w:rsidRPr="00E07BE3" w:rsidRDefault="00243AF9" w:rsidP="004A2F9E">
            <w:pPr>
              <w:pStyle w:val="TableParagraph"/>
              <w:spacing w:before="5" w:line="210" w:lineRule="exact"/>
              <w:ind w:left="1134"/>
              <w:rPr>
                <w:sz w:val="18"/>
                <w:szCs w:val="18"/>
              </w:rPr>
            </w:pPr>
            <w:r w:rsidRPr="00E07BE3">
              <w:rPr>
                <w:sz w:val="18"/>
                <w:szCs w:val="18"/>
              </w:rPr>
              <w:t>RM10,001</w:t>
            </w:r>
            <w:r w:rsidRPr="00E07BE3">
              <w:rPr>
                <w:spacing w:val="-5"/>
                <w:sz w:val="18"/>
                <w:szCs w:val="18"/>
              </w:rPr>
              <w:t xml:space="preserve"> </w:t>
            </w:r>
            <w:r w:rsidRPr="00E07BE3">
              <w:rPr>
                <w:sz w:val="18"/>
                <w:szCs w:val="18"/>
              </w:rPr>
              <w:t>and</w:t>
            </w:r>
            <w:r w:rsidRPr="00E07BE3">
              <w:rPr>
                <w:spacing w:val="-3"/>
                <w:sz w:val="18"/>
                <w:szCs w:val="18"/>
              </w:rPr>
              <w:t xml:space="preserve"> </w:t>
            </w:r>
            <w:r w:rsidRPr="00E07BE3">
              <w:rPr>
                <w:spacing w:val="-2"/>
                <w:sz w:val="18"/>
                <w:szCs w:val="18"/>
              </w:rPr>
              <w:t>above</w:t>
            </w:r>
          </w:p>
        </w:tc>
        <w:tc>
          <w:tcPr>
            <w:tcW w:w="1665" w:type="dxa"/>
          </w:tcPr>
          <w:p w14:paraId="2B37655F" w14:textId="77777777" w:rsidR="00243AF9" w:rsidRPr="00E07BE3" w:rsidRDefault="00243AF9" w:rsidP="00243AF9">
            <w:pPr>
              <w:pStyle w:val="TableParagraph"/>
              <w:spacing w:before="5" w:line="210" w:lineRule="exact"/>
              <w:jc w:val="center"/>
              <w:rPr>
                <w:spacing w:val="-5"/>
                <w:sz w:val="18"/>
                <w:szCs w:val="18"/>
              </w:rPr>
            </w:pPr>
            <w:r w:rsidRPr="00E07BE3">
              <w:rPr>
                <w:spacing w:val="-10"/>
                <w:sz w:val="18"/>
                <w:szCs w:val="18"/>
              </w:rPr>
              <w:t>0</w:t>
            </w:r>
          </w:p>
        </w:tc>
        <w:tc>
          <w:tcPr>
            <w:tcW w:w="1701" w:type="dxa"/>
          </w:tcPr>
          <w:p w14:paraId="0738A6D6" w14:textId="77777777" w:rsidR="00243AF9" w:rsidRPr="00E07BE3" w:rsidRDefault="00243AF9" w:rsidP="00243AF9">
            <w:pPr>
              <w:pStyle w:val="TableParagraph"/>
              <w:spacing w:before="5" w:line="210" w:lineRule="exact"/>
              <w:jc w:val="center"/>
              <w:rPr>
                <w:spacing w:val="-4"/>
                <w:sz w:val="18"/>
                <w:szCs w:val="18"/>
              </w:rPr>
            </w:pPr>
            <w:r w:rsidRPr="00E07BE3">
              <w:rPr>
                <w:spacing w:val="-10"/>
                <w:sz w:val="18"/>
                <w:szCs w:val="18"/>
              </w:rPr>
              <w:t>0</w:t>
            </w:r>
          </w:p>
        </w:tc>
      </w:tr>
      <w:bookmarkEnd w:id="3"/>
    </w:tbl>
    <w:p w14:paraId="79B0A684" w14:textId="77777777" w:rsidR="00735566" w:rsidRDefault="00735566" w:rsidP="00AE1C06">
      <w:pPr>
        <w:ind w:firstLine="720"/>
        <w:jc w:val="both"/>
      </w:pPr>
    </w:p>
    <w:p w14:paraId="34EEA497" w14:textId="54558E4E" w:rsidR="009B4DEF" w:rsidRPr="00CC2E71" w:rsidRDefault="009B4DEF" w:rsidP="009B4DEF">
      <w:pPr>
        <w:pStyle w:val="Heading2"/>
      </w:pPr>
      <w:r w:rsidRPr="004916F2">
        <w:t>The Pearson Correlation Analysis</w:t>
      </w:r>
    </w:p>
    <w:p w14:paraId="2302EF06" w14:textId="77777777" w:rsidR="009B4DEF" w:rsidRPr="00BB4EE2" w:rsidRDefault="009B4DEF" w:rsidP="009B4DEF">
      <w:pPr>
        <w:jc w:val="center"/>
        <w:rPr>
          <w:rFonts w:ascii="Arial" w:hAnsi="Arial" w:cs="Arial"/>
          <w:b/>
          <w:sz w:val="18"/>
          <w:szCs w:val="18"/>
        </w:rPr>
      </w:pPr>
      <w:r w:rsidRPr="00BB4EE2">
        <w:rPr>
          <w:rFonts w:ascii="Arial" w:hAnsi="Arial" w:cs="Arial"/>
          <w:b/>
          <w:sz w:val="18"/>
          <w:szCs w:val="18"/>
        </w:rPr>
        <w:t>Table 3: Pearson’s Correlation</w:t>
      </w:r>
    </w:p>
    <w:p w14:paraId="46D3267E" w14:textId="5C34B8CD" w:rsidR="009B4DEF" w:rsidRPr="00BB4EE2" w:rsidRDefault="009B4DEF" w:rsidP="009B4DEF">
      <w:pPr>
        <w:pStyle w:val="ListParagraph"/>
        <w:tabs>
          <w:tab w:val="left" w:pos="270"/>
        </w:tabs>
        <w:spacing w:after="0" w:line="240" w:lineRule="auto"/>
        <w:ind w:left="0"/>
        <w:jc w:val="both"/>
        <w:rPr>
          <w:rFonts w:ascii="Arial" w:eastAsia="Times New Roman" w:hAnsi="Arial" w:cs="Arial"/>
          <w:sz w:val="18"/>
          <w:szCs w:val="18"/>
          <w:lang w:val="de-DE"/>
        </w:rPr>
      </w:pPr>
    </w:p>
    <w:tbl>
      <w:tblPr>
        <w:tblStyle w:val="TableGrid"/>
        <w:tblW w:w="0" w:type="auto"/>
        <w:jc w:val="center"/>
        <w:tblLook w:val="04A0" w:firstRow="1" w:lastRow="0" w:firstColumn="1" w:lastColumn="0" w:noHBand="0" w:noVBand="1"/>
      </w:tblPr>
      <w:tblGrid>
        <w:gridCol w:w="2547"/>
        <w:gridCol w:w="2093"/>
        <w:gridCol w:w="1782"/>
        <w:gridCol w:w="13"/>
      </w:tblGrid>
      <w:tr w:rsidR="006C2842" w:rsidRPr="00BB4EE2" w14:paraId="684C100B" w14:textId="77777777" w:rsidTr="009540D6">
        <w:trPr>
          <w:jc w:val="center"/>
        </w:trPr>
        <w:tc>
          <w:tcPr>
            <w:tcW w:w="6435" w:type="dxa"/>
            <w:gridSpan w:val="4"/>
          </w:tcPr>
          <w:p w14:paraId="7666FEDB" w14:textId="253A0CB5" w:rsidR="006C2842" w:rsidRPr="00BB4EE2" w:rsidRDefault="006C2842" w:rsidP="006C2842">
            <w:pPr>
              <w:pStyle w:val="ListParagraph"/>
              <w:tabs>
                <w:tab w:val="left" w:pos="270"/>
              </w:tabs>
              <w:spacing w:after="0" w:line="240" w:lineRule="auto"/>
              <w:ind w:left="0"/>
              <w:jc w:val="center"/>
              <w:rPr>
                <w:rFonts w:ascii="Arial" w:eastAsia="Times New Roman" w:hAnsi="Arial" w:cs="Arial"/>
                <w:b/>
                <w:bCs/>
                <w:sz w:val="18"/>
                <w:szCs w:val="18"/>
                <w:lang w:val="de-DE"/>
              </w:rPr>
            </w:pPr>
            <w:r>
              <w:rPr>
                <w:rFonts w:ascii="Arial" w:eastAsia="Times New Roman" w:hAnsi="Arial" w:cs="Arial"/>
                <w:b/>
                <w:bCs/>
                <w:sz w:val="18"/>
                <w:szCs w:val="18"/>
                <w:lang w:val="de-DE"/>
              </w:rPr>
              <w:t xml:space="preserve">Dependent variable: </w:t>
            </w:r>
            <w:r w:rsidRPr="00BB4EE2">
              <w:rPr>
                <w:rFonts w:ascii="Arial" w:eastAsia="Times New Roman" w:hAnsi="Arial" w:cs="Arial"/>
                <w:b/>
                <w:bCs/>
                <w:sz w:val="18"/>
                <w:szCs w:val="18"/>
                <w:lang w:val="de-DE"/>
              </w:rPr>
              <w:t>Patronize intention</w:t>
            </w:r>
          </w:p>
        </w:tc>
      </w:tr>
      <w:tr w:rsidR="00BB4EE2" w:rsidRPr="00BB4EE2" w14:paraId="26956833" w14:textId="77777777" w:rsidTr="009540D6">
        <w:trPr>
          <w:gridAfter w:val="1"/>
          <w:wAfter w:w="13" w:type="dxa"/>
          <w:jc w:val="center"/>
        </w:trPr>
        <w:tc>
          <w:tcPr>
            <w:tcW w:w="2547" w:type="dxa"/>
          </w:tcPr>
          <w:p w14:paraId="673CE562" w14:textId="2B7A4523" w:rsidR="00BB4EE2" w:rsidRPr="00BB4EE2" w:rsidRDefault="00BB4EE2" w:rsidP="009B4DEF">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Attitude</w:t>
            </w:r>
          </w:p>
        </w:tc>
        <w:tc>
          <w:tcPr>
            <w:tcW w:w="2093" w:type="dxa"/>
          </w:tcPr>
          <w:p w14:paraId="0484CCBF" w14:textId="77777777" w:rsidR="00BB4EE2" w:rsidRPr="00BB4EE2" w:rsidRDefault="00BB4EE2" w:rsidP="009B4DEF">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 xml:space="preserve">Pearson correlation </w:t>
            </w:r>
          </w:p>
          <w:p w14:paraId="2638C5AF" w14:textId="024B787B" w:rsidR="00BB4EE2" w:rsidRPr="00BB4EE2" w:rsidRDefault="00BB4EE2" w:rsidP="009B4DEF">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Sig. (2-tailed)</w:t>
            </w:r>
          </w:p>
        </w:tc>
        <w:tc>
          <w:tcPr>
            <w:tcW w:w="1782" w:type="dxa"/>
          </w:tcPr>
          <w:p w14:paraId="6D108DF4" w14:textId="77777777" w:rsidR="00BB4EE2" w:rsidRPr="00BB4EE2" w:rsidRDefault="00BB4EE2" w:rsidP="001F3D8E">
            <w:pPr>
              <w:pStyle w:val="ListParagraph"/>
              <w:tabs>
                <w:tab w:val="left" w:pos="270"/>
              </w:tabs>
              <w:spacing w:after="0" w:line="240" w:lineRule="auto"/>
              <w:ind w:left="0"/>
              <w:jc w:val="center"/>
              <w:rPr>
                <w:rFonts w:ascii="Arial" w:eastAsia="Times New Roman" w:hAnsi="Arial" w:cs="Arial"/>
                <w:sz w:val="18"/>
                <w:szCs w:val="18"/>
                <w:lang w:val="de-DE"/>
              </w:rPr>
            </w:pPr>
            <w:r w:rsidRPr="00BB4EE2">
              <w:rPr>
                <w:rFonts w:ascii="Arial" w:eastAsia="Times New Roman" w:hAnsi="Arial" w:cs="Arial"/>
                <w:sz w:val="18"/>
                <w:szCs w:val="18"/>
                <w:lang w:val="de-DE"/>
              </w:rPr>
              <w:t>0.758</w:t>
            </w:r>
          </w:p>
          <w:p w14:paraId="6B047F52" w14:textId="5B9F006E" w:rsidR="00BB4EE2" w:rsidRPr="00BB4EE2" w:rsidRDefault="00BB4EE2" w:rsidP="001F3D8E">
            <w:pPr>
              <w:pStyle w:val="ListParagraph"/>
              <w:tabs>
                <w:tab w:val="left" w:pos="270"/>
              </w:tabs>
              <w:spacing w:after="0" w:line="240" w:lineRule="auto"/>
              <w:ind w:left="0"/>
              <w:jc w:val="center"/>
              <w:rPr>
                <w:rFonts w:ascii="Arial" w:eastAsia="Times New Roman" w:hAnsi="Arial" w:cs="Arial"/>
                <w:sz w:val="18"/>
                <w:szCs w:val="18"/>
                <w:lang w:val="de-DE"/>
              </w:rPr>
            </w:pPr>
            <w:r w:rsidRPr="00BB4EE2">
              <w:rPr>
                <w:rFonts w:ascii="Arial" w:eastAsia="Times New Roman" w:hAnsi="Arial" w:cs="Arial"/>
                <w:sz w:val="18"/>
                <w:szCs w:val="18"/>
                <w:lang w:val="de-DE"/>
              </w:rPr>
              <w:t>0.000</w:t>
            </w:r>
          </w:p>
        </w:tc>
      </w:tr>
      <w:tr w:rsidR="00BB4EE2" w:rsidRPr="00BB4EE2" w14:paraId="6B96B281" w14:textId="77777777" w:rsidTr="009540D6">
        <w:trPr>
          <w:gridAfter w:val="1"/>
          <w:wAfter w:w="13" w:type="dxa"/>
          <w:jc w:val="center"/>
        </w:trPr>
        <w:tc>
          <w:tcPr>
            <w:tcW w:w="2547" w:type="dxa"/>
          </w:tcPr>
          <w:p w14:paraId="70DA484E" w14:textId="6B8A3850" w:rsidR="00BB4EE2" w:rsidRPr="00BB4EE2" w:rsidRDefault="00BB4EE2" w:rsidP="009B4DEF">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Subjective Norms</w:t>
            </w:r>
          </w:p>
        </w:tc>
        <w:tc>
          <w:tcPr>
            <w:tcW w:w="2093" w:type="dxa"/>
          </w:tcPr>
          <w:p w14:paraId="7DD10865" w14:textId="77777777" w:rsidR="00BB4EE2" w:rsidRPr="00BB4EE2" w:rsidRDefault="00BB4EE2" w:rsidP="00BB4EE2">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 xml:space="preserve">Pearson correlation </w:t>
            </w:r>
          </w:p>
          <w:p w14:paraId="0114DBB0" w14:textId="573BF4CA" w:rsidR="00BB4EE2" w:rsidRPr="00BB4EE2" w:rsidRDefault="00BB4EE2" w:rsidP="00BB4EE2">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Sig. (2-tailed)</w:t>
            </w:r>
          </w:p>
        </w:tc>
        <w:tc>
          <w:tcPr>
            <w:tcW w:w="1782" w:type="dxa"/>
          </w:tcPr>
          <w:p w14:paraId="0643A37C" w14:textId="77777777" w:rsidR="00BB4EE2" w:rsidRPr="00BB4EE2" w:rsidRDefault="00BB4EE2" w:rsidP="001F3D8E">
            <w:pPr>
              <w:pStyle w:val="ListParagraph"/>
              <w:tabs>
                <w:tab w:val="left" w:pos="270"/>
              </w:tabs>
              <w:spacing w:after="0" w:line="240" w:lineRule="auto"/>
              <w:ind w:left="0"/>
              <w:jc w:val="center"/>
              <w:rPr>
                <w:rFonts w:ascii="Arial" w:eastAsia="Times New Roman" w:hAnsi="Arial" w:cs="Arial"/>
                <w:sz w:val="18"/>
                <w:szCs w:val="18"/>
                <w:lang w:val="de-DE"/>
              </w:rPr>
            </w:pPr>
            <w:r w:rsidRPr="00BB4EE2">
              <w:rPr>
                <w:rFonts w:ascii="Arial" w:eastAsia="Times New Roman" w:hAnsi="Arial" w:cs="Arial"/>
                <w:sz w:val="18"/>
                <w:szCs w:val="18"/>
                <w:lang w:val="de-DE"/>
              </w:rPr>
              <w:t>0.804</w:t>
            </w:r>
          </w:p>
          <w:p w14:paraId="183CB273" w14:textId="20A3515B" w:rsidR="00BB4EE2" w:rsidRPr="00BB4EE2" w:rsidRDefault="00BB4EE2" w:rsidP="001F3D8E">
            <w:pPr>
              <w:pStyle w:val="ListParagraph"/>
              <w:tabs>
                <w:tab w:val="left" w:pos="270"/>
              </w:tabs>
              <w:spacing w:after="0" w:line="240" w:lineRule="auto"/>
              <w:ind w:left="0"/>
              <w:jc w:val="center"/>
              <w:rPr>
                <w:rFonts w:ascii="Arial" w:eastAsia="Times New Roman" w:hAnsi="Arial" w:cs="Arial"/>
                <w:sz w:val="18"/>
                <w:szCs w:val="18"/>
                <w:lang w:val="de-DE"/>
              </w:rPr>
            </w:pPr>
            <w:r w:rsidRPr="00BB4EE2">
              <w:rPr>
                <w:rFonts w:ascii="Arial" w:eastAsia="Times New Roman" w:hAnsi="Arial" w:cs="Arial"/>
                <w:sz w:val="18"/>
                <w:szCs w:val="18"/>
                <w:lang w:val="de-DE"/>
              </w:rPr>
              <w:t>0.000</w:t>
            </w:r>
          </w:p>
        </w:tc>
      </w:tr>
      <w:tr w:rsidR="00BB4EE2" w:rsidRPr="00BB4EE2" w14:paraId="4E705C2B" w14:textId="77777777" w:rsidTr="009540D6">
        <w:trPr>
          <w:gridAfter w:val="1"/>
          <w:wAfter w:w="13" w:type="dxa"/>
          <w:jc w:val="center"/>
        </w:trPr>
        <w:tc>
          <w:tcPr>
            <w:tcW w:w="2547" w:type="dxa"/>
          </w:tcPr>
          <w:p w14:paraId="190EA320" w14:textId="1D84C4A0" w:rsidR="00BB4EE2" w:rsidRPr="00BB4EE2" w:rsidRDefault="00BB4EE2" w:rsidP="009B4DEF">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Perceived Behavioral Control</w:t>
            </w:r>
          </w:p>
        </w:tc>
        <w:tc>
          <w:tcPr>
            <w:tcW w:w="2093" w:type="dxa"/>
          </w:tcPr>
          <w:p w14:paraId="322ACB04" w14:textId="77777777" w:rsidR="00BB4EE2" w:rsidRPr="00BB4EE2" w:rsidRDefault="00BB4EE2" w:rsidP="00BB4EE2">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 xml:space="preserve">Pearson correlation </w:t>
            </w:r>
          </w:p>
          <w:p w14:paraId="6194BF17" w14:textId="2EBB25EE" w:rsidR="00BB4EE2" w:rsidRPr="00BB4EE2" w:rsidRDefault="00BB4EE2" w:rsidP="00BB4EE2">
            <w:pPr>
              <w:pStyle w:val="ListParagraph"/>
              <w:tabs>
                <w:tab w:val="left" w:pos="270"/>
              </w:tabs>
              <w:spacing w:after="0" w:line="240" w:lineRule="auto"/>
              <w:ind w:left="0"/>
              <w:jc w:val="both"/>
              <w:rPr>
                <w:rFonts w:ascii="Arial" w:eastAsia="Times New Roman" w:hAnsi="Arial" w:cs="Arial"/>
                <w:sz w:val="18"/>
                <w:szCs w:val="18"/>
                <w:lang w:val="de-DE"/>
              </w:rPr>
            </w:pPr>
            <w:r w:rsidRPr="00BB4EE2">
              <w:rPr>
                <w:rFonts w:ascii="Arial" w:eastAsia="Times New Roman" w:hAnsi="Arial" w:cs="Arial"/>
                <w:sz w:val="18"/>
                <w:szCs w:val="18"/>
                <w:lang w:val="de-DE"/>
              </w:rPr>
              <w:t>Sig. (2-tailed)</w:t>
            </w:r>
          </w:p>
        </w:tc>
        <w:tc>
          <w:tcPr>
            <w:tcW w:w="1782" w:type="dxa"/>
          </w:tcPr>
          <w:p w14:paraId="6CBBC345" w14:textId="77777777" w:rsidR="00BB4EE2" w:rsidRPr="00BB4EE2" w:rsidRDefault="00BB4EE2" w:rsidP="001F3D8E">
            <w:pPr>
              <w:pStyle w:val="ListParagraph"/>
              <w:tabs>
                <w:tab w:val="left" w:pos="270"/>
              </w:tabs>
              <w:spacing w:after="0" w:line="240" w:lineRule="auto"/>
              <w:ind w:left="0"/>
              <w:jc w:val="center"/>
              <w:rPr>
                <w:rFonts w:ascii="Arial" w:eastAsia="Times New Roman" w:hAnsi="Arial" w:cs="Arial"/>
                <w:sz w:val="18"/>
                <w:szCs w:val="18"/>
                <w:lang w:val="de-DE"/>
              </w:rPr>
            </w:pPr>
            <w:r w:rsidRPr="00BB4EE2">
              <w:rPr>
                <w:rFonts w:ascii="Arial" w:eastAsia="Times New Roman" w:hAnsi="Arial" w:cs="Arial"/>
                <w:sz w:val="18"/>
                <w:szCs w:val="18"/>
                <w:lang w:val="de-DE"/>
              </w:rPr>
              <w:t>0.802</w:t>
            </w:r>
          </w:p>
          <w:p w14:paraId="2273C59A" w14:textId="543B70BB" w:rsidR="00BB4EE2" w:rsidRPr="00BB4EE2" w:rsidRDefault="00BB4EE2" w:rsidP="001F3D8E">
            <w:pPr>
              <w:pStyle w:val="ListParagraph"/>
              <w:tabs>
                <w:tab w:val="left" w:pos="270"/>
              </w:tabs>
              <w:spacing w:after="0" w:line="240" w:lineRule="auto"/>
              <w:ind w:left="0"/>
              <w:jc w:val="center"/>
              <w:rPr>
                <w:rFonts w:ascii="Arial" w:eastAsia="Times New Roman" w:hAnsi="Arial" w:cs="Arial"/>
                <w:sz w:val="18"/>
                <w:szCs w:val="18"/>
                <w:lang w:val="de-DE"/>
              </w:rPr>
            </w:pPr>
            <w:r w:rsidRPr="00BB4EE2">
              <w:rPr>
                <w:rFonts w:ascii="Arial" w:eastAsia="Times New Roman" w:hAnsi="Arial" w:cs="Arial"/>
                <w:sz w:val="18"/>
                <w:szCs w:val="18"/>
                <w:lang w:val="de-DE"/>
              </w:rPr>
              <w:t>0.000</w:t>
            </w:r>
          </w:p>
        </w:tc>
      </w:tr>
    </w:tbl>
    <w:p w14:paraId="7AC963DC" w14:textId="22D4DDDB" w:rsidR="00BB4EE2" w:rsidRPr="00BB4EE2" w:rsidRDefault="009540D6" w:rsidP="009540D6">
      <w:pPr>
        <w:pStyle w:val="ListParagraph"/>
        <w:tabs>
          <w:tab w:val="left" w:pos="270"/>
        </w:tabs>
        <w:spacing w:after="0" w:line="240" w:lineRule="auto"/>
        <w:ind w:left="0"/>
        <w:rPr>
          <w:rFonts w:ascii="Arial" w:eastAsia="Times New Roman" w:hAnsi="Arial" w:cs="Arial"/>
          <w:sz w:val="18"/>
          <w:szCs w:val="18"/>
          <w:lang w:val="de-DE"/>
        </w:rPr>
      </w:pPr>
      <w:r>
        <w:rPr>
          <w:rFonts w:ascii="Arial" w:eastAsia="Times New Roman" w:hAnsi="Arial" w:cs="Arial"/>
          <w:sz w:val="18"/>
          <w:szCs w:val="18"/>
          <w:lang w:val="de-DE"/>
        </w:rPr>
        <w:tab/>
      </w:r>
      <w:r>
        <w:rPr>
          <w:rFonts w:ascii="Arial" w:eastAsia="Times New Roman" w:hAnsi="Arial" w:cs="Arial"/>
          <w:sz w:val="18"/>
          <w:szCs w:val="18"/>
          <w:lang w:val="de-DE"/>
        </w:rPr>
        <w:tab/>
        <w:t xml:space="preserve">            </w:t>
      </w:r>
      <w:r w:rsidR="00BB4EE2" w:rsidRPr="00BB4EE2">
        <w:rPr>
          <w:rFonts w:ascii="Arial" w:eastAsia="Times New Roman" w:hAnsi="Arial" w:cs="Arial"/>
          <w:sz w:val="18"/>
          <w:szCs w:val="18"/>
          <w:lang w:val="de-DE"/>
        </w:rPr>
        <w:t>*Correlation is significant at the 0.01 level (2-tailed).</w:t>
      </w:r>
    </w:p>
    <w:p w14:paraId="1B4689D2" w14:textId="77777777" w:rsidR="00BB4EE2" w:rsidRDefault="00BB4EE2" w:rsidP="009B4DEF">
      <w:pPr>
        <w:pStyle w:val="ListParagraph"/>
        <w:tabs>
          <w:tab w:val="left" w:pos="270"/>
        </w:tabs>
        <w:spacing w:after="0" w:line="240" w:lineRule="auto"/>
        <w:ind w:left="0"/>
        <w:jc w:val="both"/>
        <w:rPr>
          <w:rFonts w:ascii="Times New Roman" w:eastAsia="Times New Roman" w:hAnsi="Times New Roman"/>
          <w:lang w:val="de-DE"/>
        </w:rPr>
      </w:pPr>
    </w:p>
    <w:p w14:paraId="0F8F7A4B" w14:textId="77777777" w:rsidR="00032375" w:rsidRPr="00CB591F" w:rsidRDefault="00032375" w:rsidP="00032375">
      <w:pPr>
        <w:ind w:firstLine="720"/>
        <w:jc w:val="both"/>
      </w:pPr>
      <w:r w:rsidRPr="00635882">
        <w:t xml:space="preserve">The strength of relationships between the TPB constructs and patronage intentions is highlighted in Table 3, which presents the results of the Pearson correlation analysis. Attitudes were positively correlated with patronage intentions (r = 0.758, p &lt; 0.01), indicating that favourable evaluations of food quality, service, and affordability significantly drive local restaurant patronage. </w:t>
      </w:r>
      <w:r w:rsidRPr="00CB591F">
        <w:t>Subjective norms emerged as the strongest predictor (r = 0.804, p &lt; 0.01), emphasising the role of social and cultural influences, such as family and peer recommendations, in shaping dining behaviours. Perceived behavioural control also exhibited a strong positive correlation (r = 0.802, p &lt; 0.01), underscoring the importance of accessibility, affordability, and logistical ease in fostering dining intentions. These significant correlations validate the hypothesised relationships in the TPB framework, directly addressing the research objective of identifying key predictors of patronage intentions.</w:t>
      </w:r>
    </w:p>
    <w:p w14:paraId="778A4A95" w14:textId="2ED74739" w:rsidR="00635882" w:rsidRDefault="009B4DEF" w:rsidP="00B67EFC">
      <w:pPr>
        <w:pStyle w:val="Heading2"/>
      </w:pPr>
      <w:r w:rsidRPr="00CB591F">
        <w:t>Multiple Regression Analysis</w:t>
      </w:r>
    </w:p>
    <w:p w14:paraId="0F5C1C42" w14:textId="77777777" w:rsidR="00635882" w:rsidRDefault="00635882" w:rsidP="00635882">
      <w:pPr>
        <w:jc w:val="center"/>
        <w:rPr>
          <w:rFonts w:ascii="Arial" w:hAnsi="Arial" w:cs="Arial"/>
          <w:b/>
          <w:sz w:val="18"/>
          <w:szCs w:val="18"/>
        </w:rPr>
      </w:pPr>
      <w:r w:rsidRPr="00CF577B">
        <w:rPr>
          <w:rFonts w:ascii="Arial" w:hAnsi="Arial" w:cs="Arial"/>
          <w:b/>
          <w:sz w:val="18"/>
          <w:szCs w:val="18"/>
        </w:rPr>
        <w:t xml:space="preserve">Table </w:t>
      </w:r>
      <w:r>
        <w:rPr>
          <w:rFonts w:ascii="Arial" w:hAnsi="Arial" w:cs="Arial"/>
          <w:b/>
          <w:sz w:val="18"/>
          <w:szCs w:val="18"/>
        </w:rPr>
        <w:t>4</w:t>
      </w:r>
      <w:r w:rsidRPr="00CF577B">
        <w:rPr>
          <w:rFonts w:ascii="Arial" w:hAnsi="Arial" w:cs="Arial"/>
          <w:b/>
          <w:sz w:val="18"/>
          <w:szCs w:val="18"/>
        </w:rPr>
        <w:t xml:space="preserve">: </w:t>
      </w:r>
      <w:r w:rsidRPr="006D4E09">
        <w:rPr>
          <w:rFonts w:ascii="Arial" w:hAnsi="Arial" w:cs="Arial"/>
          <w:b/>
          <w:sz w:val="18"/>
          <w:szCs w:val="18"/>
        </w:rPr>
        <w:t>Results of Multiple Regression</w:t>
      </w:r>
    </w:p>
    <w:p w14:paraId="5BB4D9A1" w14:textId="77777777" w:rsidR="00635882" w:rsidRDefault="00635882" w:rsidP="00635882">
      <w:pPr>
        <w:jc w:val="center"/>
        <w:rPr>
          <w:rFonts w:ascii="Arial" w:hAnsi="Arial" w:cs="Arial"/>
          <w:b/>
          <w:sz w:val="18"/>
          <w:szCs w:val="18"/>
        </w:rPr>
      </w:pPr>
    </w:p>
    <w:tbl>
      <w:tblPr>
        <w:tblW w:w="9100"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761"/>
        <w:gridCol w:w="880"/>
        <w:gridCol w:w="1010"/>
        <w:gridCol w:w="996"/>
        <w:gridCol w:w="993"/>
        <w:gridCol w:w="938"/>
        <w:gridCol w:w="765"/>
        <w:gridCol w:w="765"/>
        <w:gridCol w:w="917"/>
      </w:tblGrid>
      <w:tr w:rsidR="00635882" w:rsidRPr="00B67EFC" w14:paraId="64051696" w14:textId="77777777" w:rsidTr="008E7BCA">
        <w:trPr>
          <w:trHeight w:val="263"/>
        </w:trPr>
        <w:tc>
          <w:tcPr>
            <w:tcW w:w="9100" w:type="dxa"/>
            <w:gridSpan w:val="10"/>
          </w:tcPr>
          <w:p w14:paraId="440DE488" w14:textId="77777777" w:rsidR="00635882" w:rsidRPr="00B67EFC" w:rsidRDefault="00635882" w:rsidP="008E7BCA">
            <w:pPr>
              <w:pStyle w:val="TableParagraph"/>
              <w:spacing w:line="229" w:lineRule="exact"/>
              <w:ind w:left="107"/>
              <w:rPr>
                <w:b/>
                <w:bCs/>
                <w:sz w:val="18"/>
                <w:szCs w:val="18"/>
              </w:rPr>
            </w:pPr>
            <w:r w:rsidRPr="00B67EFC">
              <w:rPr>
                <w:b/>
                <w:bCs/>
                <w:sz w:val="18"/>
                <w:szCs w:val="18"/>
              </w:rPr>
              <w:t>Model</w:t>
            </w:r>
            <w:r w:rsidRPr="00B67EFC">
              <w:rPr>
                <w:b/>
                <w:bCs/>
                <w:spacing w:val="-8"/>
                <w:sz w:val="18"/>
                <w:szCs w:val="18"/>
              </w:rPr>
              <w:t xml:space="preserve"> </w:t>
            </w:r>
            <w:r w:rsidRPr="00B67EFC">
              <w:rPr>
                <w:b/>
                <w:bCs/>
                <w:spacing w:val="-2"/>
                <w:sz w:val="18"/>
                <w:szCs w:val="18"/>
              </w:rPr>
              <w:t>Summary</w:t>
            </w:r>
          </w:p>
        </w:tc>
      </w:tr>
      <w:tr w:rsidR="00635882" w:rsidRPr="00B67EFC" w14:paraId="6E89FAD7" w14:textId="77777777" w:rsidTr="00B67EFC">
        <w:trPr>
          <w:trHeight w:val="58"/>
        </w:trPr>
        <w:tc>
          <w:tcPr>
            <w:tcW w:w="1075" w:type="dxa"/>
            <w:vMerge w:val="restart"/>
          </w:tcPr>
          <w:p w14:paraId="324068E3" w14:textId="77777777" w:rsidR="00635882" w:rsidRPr="00B67EFC" w:rsidRDefault="00635882" w:rsidP="008E7BCA">
            <w:pPr>
              <w:pStyle w:val="TableParagraph"/>
              <w:spacing w:line="229" w:lineRule="exact"/>
              <w:ind w:left="107"/>
              <w:rPr>
                <w:sz w:val="18"/>
                <w:szCs w:val="18"/>
              </w:rPr>
            </w:pPr>
            <w:r w:rsidRPr="00B67EFC">
              <w:rPr>
                <w:spacing w:val="-2"/>
                <w:sz w:val="18"/>
                <w:szCs w:val="18"/>
              </w:rPr>
              <w:t>Model</w:t>
            </w:r>
          </w:p>
        </w:tc>
        <w:tc>
          <w:tcPr>
            <w:tcW w:w="761" w:type="dxa"/>
            <w:vMerge w:val="restart"/>
          </w:tcPr>
          <w:p w14:paraId="6C04919F" w14:textId="77777777" w:rsidR="00635882" w:rsidRPr="00B67EFC" w:rsidRDefault="00635882" w:rsidP="008E7BCA">
            <w:pPr>
              <w:pStyle w:val="TableParagraph"/>
              <w:spacing w:line="229" w:lineRule="exact"/>
              <w:ind w:left="107"/>
              <w:rPr>
                <w:sz w:val="18"/>
                <w:szCs w:val="18"/>
              </w:rPr>
            </w:pPr>
            <w:r w:rsidRPr="00B67EFC">
              <w:rPr>
                <w:spacing w:val="-10"/>
                <w:sz w:val="18"/>
                <w:szCs w:val="18"/>
              </w:rPr>
              <w:t>R</w:t>
            </w:r>
          </w:p>
        </w:tc>
        <w:tc>
          <w:tcPr>
            <w:tcW w:w="880" w:type="dxa"/>
            <w:vMerge w:val="restart"/>
          </w:tcPr>
          <w:p w14:paraId="065373B5" w14:textId="77777777" w:rsidR="00635882" w:rsidRPr="00B67EFC" w:rsidRDefault="00635882" w:rsidP="008E7BCA">
            <w:pPr>
              <w:pStyle w:val="TableParagraph"/>
              <w:spacing w:line="229" w:lineRule="exact"/>
              <w:ind w:left="108"/>
              <w:rPr>
                <w:sz w:val="18"/>
                <w:szCs w:val="18"/>
              </w:rPr>
            </w:pPr>
            <w:r w:rsidRPr="00B67EFC">
              <w:rPr>
                <w:spacing w:val="-10"/>
                <w:sz w:val="18"/>
                <w:szCs w:val="18"/>
              </w:rPr>
              <w:t>R</w:t>
            </w:r>
          </w:p>
          <w:p w14:paraId="4A8A8C71" w14:textId="77777777" w:rsidR="00635882" w:rsidRPr="00B67EFC" w:rsidRDefault="00635882" w:rsidP="008E7BCA">
            <w:pPr>
              <w:pStyle w:val="TableParagraph"/>
              <w:ind w:left="108"/>
              <w:rPr>
                <w:sz w:val="18"/>
                <w:szCs w:val="18"/>
              </w:rPr>
            </w:pPr>
            <w:r w:rsidRPr="00B67EFC">
              <w:rPr>
                <w:spacing w:val="-2"/>
                <w:sz w:val="18"/>
                <w:szCs w:val="18"/>
              </w:rPr>
              <w:t>Square</w:t>
            </w:r>
          </w:p>
        </w:tc>
        <w:tc>
          <w:tcPr>
            <w:tcW w:w="1010" w:type="dxa"/>
            <w:vMerge w:val="restart"/>
          </w:tcPr>
          <w:p w14:paraId="403AB2E7" w14:textId="77777777" w:rsidR="00635882" w:rsidRPr="00B67EFC" w:rsidRDefault="00635882" w:rsidP="008E7BCA">
            <w:pPr>
              <w:pStyle w:val="TableParagraph"/>
              <w:ind w:left="109" w:right="108"/>
              <w:rPr>
                <w:sz w:val="18"/>
                <w:szCs w:val="18"/>
              </w:rPr>
            </w:pPr>
            <w:r w:rsidRPr="00B67EFC">
              <w:rPr>
                <w:spacing w:val="-2"/>
                <w:sz w:val="18"/>
                <w:szCs w:val="18"/>
              </w:rPr>
              <w:t xml:space="preserve">Adjusted </w:t>
            </w:r>
            <w:r w:rsidRPr="00B67EFC">
              <w:rPr>
                <w:spacing w:val="-10"/>
                <w:sz w:val="18"/>
                <w:szCs w:val="18"/>
              </w:rPr>
              <w:t>R</w:t>
            </w:r>
          </w:p>
          <w:p w14:paraId="26EE1851" w14:textId="77777777" w:rsidR="00635882" w:rsidRPr="00B67EFC" w:rsidRDefault="00635882" w:rsidP="008E7BCA">
            <w:pPr>
              <w:pStyle w:val="TableParagraph"/>
              <w:ind w:left="109"/>
              <w:rPr>
                <w:sz w:val="18"/>
                <w:szCs w:val="18"/>
              </w:rPr>
            </w:pPr>
            <w:r w:rsidRPr="00B67EFC">
              <w:rPr>
                <w:spacing w:val="-2"/>
                <w:sz w:val="18"/>
                <w:szCs w:val="18"/>
              </w:rPr>
              <w:t>Square</w:t>
            </w:r>
          </w:p>
        </w:tc>
        <w:tc>
          <w:tcPr>
            <w:tcW w:w="996" w:type="dxa"/>
            <w:vMerge w:val="restart"/>
          </w:tcPr>
          <w:p w14:paraId="1727B172" w14:textId="77777777" w:rsidR="00635882" w:rsidRPr="00B67EFC" w:rsidRDefault="00635882" w:rsidP="008E7BCA">
            <w:pPr>
              <w:pStyle w:val="TableParagraph"/>
              <w:ind w:left="109" w:right="94"/>
              <w:rPr>
                <w:sz w:val="18"/>
                <w:szCs w:val="18"/>
              </w:rPr>
            </w:pPr>
            <w:r w:rsidRPr="00B67EFC">
              <w:rPr>
                <w:spacing w:val="-4"/>
                <w:sz w:val="18"/>
                <w:szCs w:val="18"/>
              </w:rPr>
              <w:t xml:space="preserve">Std. </w:t>
            </w:r>
            <w:r w:rsidRPr="00B67EFC">
              <w:rPr>
                <w:sz w:val="18"/>
                <w:szCs w:val="18"/>
              </w:rPr>
              <w:t xml:space="preserve">Error of </w:t>
            </w:r>
            <w:r w:rsidRPr="00B67EFC">
              <w:rPr>
                <w:spacing w:val="-4"/>
                <w:sz w:val="18"/>
                <w:szCs w:val="18"/>
              </w:rPr>
              <w:t xml:space="preserve">the </w:t>
            </w:r>
            <w:r w:rsidRPr="00B67EFC">
              <w:rPr>
                <w:spacing w:val="-2"/>
                <w:sz w:val="18"/>
                <w:szCs w:val="18"/>
              </w:rPr>
              <w:t>Estimate</w:t>
            </w:r>
          </w:p>
        </w:tc>
        <w:tc>
          <w:tcPr>
            <w:tcW w:w="4378" w:type="dxa"/>
            <w:gridSpan w:val="5"/>
          </w:tcPr>
          <w:p w14:paraId="68CF29F8" w14:textId="77777777" w:rsidR="00635882" w:rsidRPr="00B67EFC" w:rsidRDefault="00635882" w:rsidP="008E7BCA">
            <w:pPr>
              <w:pStyle w:val="TableParagraph"/>
              <w:spacing w:line="229" w:lineRule="exact"/>
              <w:ind w:left="1413"/>
              <w:rPr>
                <w:sz w:val="18"/>
                <w:szCs w:val="18"/>
              </w:rPr>
            </w:pPr>
            <w:r w:rsidRPr="00B67EFC">
              <w:rPr>
                <w:sz w:val="18"/>
                <w:szCs w:val="18"/>
              </w:rPr>
              <w:t>Change</w:t>
            </w:r>
            <w:r w:rsidRPr="00B67EFC">
              <w:rPr>
                <w:spacing w:val="-12"/>
                <w:sz w:val="18"/>
                <w:szCs w:val="18"/>
              </w:rPr>
              <w:t xml:space="preserve"> </w:t>
            </w:r>
            <w:r w:rsidRPr="00B67EFC">
              <w:rPr>
                <w:spacing w:val="-2"/>
                <w:sz w:val="18"/>
                <w:szCs w:val="18"/>
              </w:rPr>
              <w:t>Statistics</w:t>
            </w:r>
          </w:p>
        </w:tc>
      </w:tr>
      <w:tr w:rsidR="00635882" w:rsidRPr="00B67EFC" w14:paraId="10C4BF5A" w14:textId="77777777" w:rsidTr="008E7BCA">
        <w:trPr>
          <w:trHeight w:val="688"/>
        </w:trPr>
        <w:tc>
          <w:tcPr>
            <w:tcW w:w="1075" w:type="dxa"/>
            <w:vMerge/>
            <w:tcBorders>
              <w:top w:val="nil"/>
            </w:tcBorders>
          </w:tcPr>
          <w:p w14:paraId="3E68EB96" w14:textId="77777777" w:rsidR="00635882" w:rsidRPr="00B67EFC" w:rsidRDefault="00635882" w:rsidP="008E7BCA">
            <w:pPr>
              <w:rPr>
                <w:sz w:val="18"/>
                <w:szCs w:val="18"/>
              </w:rPr>
            </w:pPr>
          </w:p>
        </w:tc>
        <w:tc>
          <w:tcPr>
            <w:tcW w:w="761" w:type="dxa"/>
            <w:vMerge/>
            <w:tcBorders>
              <w:top w:val="nil"/>
            </w:tcBorders>
          </w:tcPr>
          <w:p w14:paraId="5A22BF78" w14:textId="77777777" w:rsidR="00635882" w:rsidRPr="00B67EFC" w:rsidRDefault="00635882" w:rsidP="008E7BCA">
            <w:pPr>
              <w:rPr>
                <w:sz w:val="18"/>
                <w:szCs w:val="18"/>
              </w:rPr>
            </w:pPr>
          </w:p>
        </w:tc>
        <w:tc>
          <w:tcPr>
            <w:tcW w:w="880" w:type="dxa"/>
            <w:vMerge/>
            <w:tcBorders>
              <w:top w:val="nil"/>
            </w:tcBorders>
          </w:tcPr>
          <w:p w14:paraId="0218409B" w14:textId="77777777" w:rsidR="00635882" w:rsidRPr="00B67EFC" w:rsidRDefault="00635882" w:rsidP="008E7BCA">
            <w:pPr>
              <w:rPr>
                <w:sz w:val="18"/>
                <w:szCs w:val="18"/>
              </w:rPr>
            </w:pPr>
          </w:p>
        </w:tc>
        <w:tc>
          <w:tcPr>
            <w:tcW w:w="1010" w:type="dxa"/>
            <w:vMerge/>
            <w:tcBorders>
              <w:top w:val="nil"/>
            </w:tcBorders>
          </w:tcPr>
          <w:p w14:paraId="77731DE5" w14:textId="77777777" w:rsidR="00635882" w:rsidRPr="00B67EFC" w:rsidRDefault="00635882" w:rsidP="008E7BCA">
            <w:pPr>
              <w:rPr>
                <w:sz w:val="18"/>
                <w:szCs w:val="18"/>
              </w:rPr>
            </w:pPr>
          </w:p>
        </w:tc>
        <w:tc>
          <w:tcPr>
            <w:tcW w:w="996" w:type="dxa"/>
            <w:vMerge/>
            <w:tcBorders>
              <w:top w:val="nil"/>
            </w:tcBorders>
          </w:tcPr>
          <w:p w14:paraId="164EE51D" w14:textId="77777777" w:rsidR="00635882" w:rsidRPr="00B67EFC" w:rsidRDefault="00635882" w:rsidP="008E7BCA">
            <w:pPr>
              <w:rPr>
                <w:sz w:val="18"/>
                <w:szCs w:val="18"/>
              </w:rPr>
            </w:pPr>
          </w:p>
        </w:tc>
        <w:tc>
          <w:tcPr>
            <w:tcW w:w="993" w:type="dxa"/>
          </w:tcPr>
          <w:p w14:paraId="6BB84AF2" w14:textId="77777777" w:rsidR="00635882" w:rsidRPr="00B67EFC" w:rsidRDefault="00635882" w:rsidP="008E7BCA">
            <w:pPr>
              <w:pStyle w:val="TableParagraph"/>
              <w:spacing w:line="228" w:lineRule="exact"/>
              <w:ind w:left="14"/>
              <w:jc w:val="center"/>
              <w:rPr>
                <w:sz w:val="18"/>
                <w:szCs w:val="18"/>
              </w:rPr>
            </w:pPr>
            <w:r w:rsidRPr="00B67EFC">
              <w:rPr>
                <w:spacing w:val="-10"/>
                <w:sz w:val="18"/>
                <w:szCs w:val="18"/>
              </w:rPr>
              <w:t>R</w:t>
            </w:r>
          </w:p>
          <w:p w14:paraId="182015B6" w14:textId="77777777" w:rsidR="00635882" w:rsidRPr="00B67EFC" w:rsidRDefault="00635882" w:rsidP="008E7BCA">
            <w:pPr>
              <w:pStyle w:val="TableParagraph"/>
              <w:spacing w:line="230" w:lineRule="exact"/>
              <w:ind w:left="148" w:right="133" w:firstLine="1"/>
              <w:jc w:val="center"/>
              <w:rPr>
                <w:sz w:val="18"/>
                <w:szCs w:val="18"/>
              </w:rPr>
            </w:pPr>
            <w:r w:rsidRPr="00B67EFC">
              <w:rPr>
                <w:spacing w:val="-2"/>
                <w:sz w:val="18"/>
                <w:szCs w:val="18"/>
              </w:rPr>
              <w:t>Square Change</w:t>
            </w:r>
          </w:p>
        </w:tc>
        <w:tc>
          <w:tcPr>
            <w:tcW w:w="938" w:type="dxa"/>
          </w:tcPr>
          <w:p w14:paraId="21ED9AE5" w14:textId="77777777" w:rsidR="00635882" w:rsidRPr="00B67EFC" w:rsidRDefault="00635882" w:rsidP="008E7BCA">
            <w:pPr>
              <w:pStyle w:val="TableParagraph"/>
              <w:spacing w:line="228" w:lineRule="exact"/>
              <w:ind w:left="14"/>
              <w:jc w:val="center"/>
              <w:rPr>
                <w:sz w:val="18"/>
                <w:szCs w:val="18"/>
              </w:rPr>
            </w:pPr>
            <w:r w:rsidRPr="00B67EFC">
              <w:rPr>
                <w:spacing w:val="-10"/>
                <w:sz w:val="18"/>
                <w:szCs w:val="18"/>
              </w:rPr>
              <w:t>F</w:t>
            </w:r>
          </w:p>
          <w:p w14:paraId="335C0A60" w14:textId="77777777" w:rsidR="00635882" w:rsidRPr="00B67EFC" w:rsidRDefault="00635882" w:rsidP="008E7BCA">
            <w:pPr>
              <w:pStyle w:val="TableParagraph"/>
              <w:spacing w:line="229" w:lineRule="exact"/>
              <w:ind w:left="14" w:right="3"/>
              <w:jc w:val="center"/>
              <w:rPr>
                <w:sz w:val="18"/>
                <w:szCs w:val="18"/>
              </w:rPr>
            </w:pPr>
            <w:r w:rsidRPr="00B67EFC">
              <w:rPr>
                <w:spacing w:val="-2"/>
                <w:sz w:val="18"/>
                <w:szCs w:val="18"/>
              </w:rPr>
              <w:t>Change</w:t>
            </w:r>
          </w:p>
        </w:tc>
        <w:tc>
          <w:tcPr>
            <w:tcW w:w="765" w:type="dxa"/>
          </w:tcPr>
          <w:p w14:paraId="6D06CDC7" w14:textId="77777777" w:rsidR="00635882" w:rsidRPr="00B67EFC" w:rsidRDefault="00635882" w:rsidP="008E7BCA">
            <w:pPr>
              <w:pStyle w:val="TableParagraph"/>
              <w:spacing w:line="229" w:lineRule="exact"/>
              <w:ind w:left="245"/>
              <w:rPr>
                <w:sz w:val="18"/>
                <w:szCs w:val="18"/>
              </w:rPr>
            </w:pPr>
            <w:r w:rsidRPr="00B67EFC">
              <w:rPr>
                <w:spacing w:val="-5"/>
                <w:sz w:val="18"/>
                <w:szCs w:val="18"/>
              </w:rPr>
              <w:t>df1</w:t>
            </w:r>
          </w:p>
        </w:tc>
        <w:tc>
          <w:tcPr>
            <w:tcW w:w="765" w:type="dxa"/>
          </w:tcPr>
          <w:p w14:paraId="39114161" w14:textId="77777777" w:rsidR="00635882" w:rsidRPr="00B67EFC" w:rsidRDefault="00635882" w:rsidP="008E7BCA">
            <w:pPr>
              <w:pStyle w:val="TableParagraph"/>
              <w:spacing w:line="229" w:lineRule="exact"/>
              <w:ind w:left="246"/>
              <w:rPr>
                <w:sz w:val="18"/>
                <w:szCs w:val="18"/>
              </w:rPr>
            </w:pPr>
            <w:r w:rsidRPr="00B67EFC">
              <w:rPr>
                <w:spacing w:val="-5"/>
                <w:sz w:val="18"/>
                <w:szCs w:val="18"/>
              </w:rPr>
              <w:t>df2</w:t>
            </w:r>
          </w:p>
        </w:tc>
        <w:tc>
          <w:tcPr>
            <w:tcW w:w="917" w:type="dxa"/>
          </w:tcPr>
          <w:p w14:paraId="66060A44" w14:textId="77777777" w:rsidR="00635882" w:rsidRPr="00B67EFC" w:rsidRDefault="00635882" w:rsidP="008E7BCA">
            <w:pPr>
              <w:pStyle w:val="TableParagraph"/>
              <w:ind w:left="112" w:right="86" w:firstLine="88"/>
              <w:rPr>
                <w:sz w:val="18"/>
                <w:szCs w:val="18"/>
              </w:rPr>
            </w:pPr>
            <w:r w:rsidRPr="00B67EFC">
              <w:rPr>
                <w:sz w:val="18"/>
                <w:szCs w:val="18"/>
              </w:rPr>
              <w:t xml:space="preserve">Sig. F </w:t>
            </w:r>
            <w:r w:rsidRPr="00B67EFC">
              <w:rPr>
                <w:spacing w:val="-2"/>
                <w:sz w:val="18"/>
                <w:szCs w:val="18"/>
              </w:rPr>
              <w:t>Change</w:t>
            </w:r>
          </w:p>
        </w:tc>
      </w:tr>
      <w:tr w:rsidR="00635882" w:rsidRPr="00B67EFC" w14:paraId="21D0DF14" w14:textId="77777777" w:rsidTr="00B67EFC">
        <w:trPr>
          <w:trHeight w:val="230"/>
        </w:trPr>
        <w:tc>
          <w:tcPr>
            <w:tcW w:w="1075" w:type="dxa"/>
            <w:tcBorders>
              <w:bottom w:val="single" w:sz="4" w:space="0" w:color="000000"/>
            </w:tcBorders>
          </w:tcPr>
          <w:p w14:paraId="66EDA1B5" w14:textId="77777777" w:rsidR="00635882" w:rsidRPr="00B67EFC" w:rsidRDefault="00635882" w:rsidP="00B67EFC">
            <w:pPr>
              <w:pStyle w:val="TableParagraph"/>
              <w:spacing w:line="210" w:lineRule="exact"/>
              <w:ind w:left="107"/>
              <w:jc w:val="center"/>
              <w:rPr>
                <w:sz w:val="18"/>
                <w:szCs w:val="18"/>
              </w:rPr>
            </w:pPr>
            <w:r w:rsidRPr="00B67EFC">
              <w:rPr>
                <w:spacing w:val="-10"/>
                <w:sz w:val="18"/>
                <w:szCs w:val="18"/>
              </w:rPr>
              <w:t>1</w:t>
            </w:r>
          </w:p>
        </w:tc>
        <w:tc>
          <w:tcPr>
            <w:tcW w:w="761" w:type="dxa"/>
            <w:tcBorders>
              <w:bottom w:val="single" w:sz="4" w:space="0" w:color="000000"/>
            </w:tcBorders>
          </w:tcPr>
          <w:p w14:paraId="45617791" w14:textId="77777777" w:rsidR="00635882" w:rsidRPr="00B67EFC" w:rsidRDefault="00635882" w:rsidP="00B67EFC">
            <w:pPr>
              <w:pStyle w:val="TableParagraph"/>
              <w:spacing w:line="210" w:lineRule="exact"/>
              <w:ind w:left="107"/>
              <w:jc w:val="center"/>
              <w:rPr>
                <w:sz w:val="18"/>
                <w:szCs w:val="18"/>
              </w:rPr>
            </w:pPr>
            <w:r w:rsidRPr="00B67EFC">
              <w:rPr>
                <w:spacing w:val="-2"/>
                <w:sz w:val="18"/>
                <w:szCs w:val="18"/>
              </w:rPr>
              <w:t>.847ª</w:t>
            </w:r>
          </w:p>
        </w:tc>
        <w:tc>
          <w:tcPr>
            <w:tcW w:w="880" w:type="dxa"/>
            <w:tcBorders>
              <w:bottom w:val="single" w:sz="4" w:space="0" w:color="000000"/>
            </w:tcBorders>
          </w:tcPr>
          <w:p w14:paraId="4734D536" w14:textId="77777777" w:rsidR="00635882" w:rsidRPr="00B67EFC" w:rsidRDefault="00635882" w:rsidP="00B67EFC">
            <w:pPr>
              <w:pStyle w:val="TableParagraph"/>
              <w:spacing w:line="210" w:lineRule="exact"/>
              <w:ind w:left="108"/>
              <w:jc w:val="center"/>
              <w:rPr>
                <w:sz w:val="18"/>
                <w:szCs w:val="18"/>
              </w:rPr>
            </w:pPr>
            <w:r w:rsidRPr="00B67EFC">
              <w:rPr>
                <w:spacing w:val="-4"/>
                <w:sz w:val="18"/>
                <w:szCs w:val="18"/>
              </w:rPr>
              <w:t>.718</w:t>
            </w:r>
          </w:p>
        </w:tc>
        <w:tc>
          <w:tcPr>
            <w:tcW w:w="1010" w:type="dxa"/>
            <w:tcBorders>
              <w:bottom w:val="single" w:sz="4" w:space="0" w:color="000000"/>
            </w:tcBorders>
          </w:tcPr>
          <w:p w14:paraId="50E442CC" w14:textId="77777777" w:rsidR="00635882" w:rsidRPr="00B67EFC" w:rsidRDefault="00635882" w:rsidP="00B67EFC">
            <w:pPr>
              <w:pStyle w:val="TableParagraph"/>
              <w:spacing w:line="210" w:lineRule="exact"/>
              <w:ind w:left="109"/>
              <w:jc w:val="center"/>
              <w:rPr>
                <w:sz w:val="18"/>
                <w:szCs w:val="18"/>
              </w:rPr>
            </w:pPr>
            <w:r w:rsidRPr="00B67EFC">
              <w:rPr>
                <w:spacing w:val="-4"/>
                <w:sz w:val="18"/>
                <w:szCs w:val="18"/>
              </w:rPr>
              <w:t>.714</w:t>
            </w:r>
          </w:p>
        </w:tc>
        <w:tc>
          <w:tcPr>
            <w:tcW w:w="996" w:type="dxa"/>
            <w:tcBorders>
              <w:bottom w:val="single" w:sz="4" w:space="0" w:color="000000"/>
            </w:tcBorders>
          </w:tcPr>
          <w:p w14:paraId="5FE35F34" w14:textId="77777777" w:rsidR="00635882" w:rsidRPr="00B67EFC" w:rsidRDefault="00635882" w:rsidP="00B67EFC">
            <w:pPr>
              <w:pStyle w:val="TableParagraph"/>
              <w:spacing w:line="210" w:lineRule="exact"/>
              <w:ind w:left="109"/>
              <w:jc w:val="center"/>
              <w:rPr>
                <w:sz w:val="18"/>
                <w:szCs w:val="18"/>
              </w:rPr>
            </w:pPr>
            <w:r w:rsidRPr="00B67EFC">
              <w:rPr>
                <w:spacing w:val="-2"/>
                <w:sz w:val="18"/>
                <w:szCs w:val="18"/>
              </w:rPr>
              <w:t>.36209</w:t>
            </w:r>
          </w:p>
        </w:tc>
        <w:tc>
          <w:tcPr>
            <w:tcW w:w="993" w:type="dxa"/>
            <w:tcBorders>
              <w:bottom w:val="single" w:sz="4" w:space="0" w:color="000000"/>
            </w:tcBorders>
          </w:tcPr>
          <w:p w14:paraId="30C83897" w14:textId="77777777" w:rsidR="00635882" w:rsidRPr="00B67EFC" w:rsidRDefault="00635882" w:rsidP="00B67EFC">
            <w:pPr>
              <w:pStyle w:val="TableParagraph"/>
              <w:spacing w:line="210" w:lineRule="exact"/>
              <w:ind w:left="109"/>
              <w:jc w:val="center"/>
              <w:rPr>
                <w:sz w:val="18"/>
                <w:szCs w:val="18"/>
              </w:rPr>
            </w:pPr>
            <w:r w:rsidRPr="00B67EFC">
              <w:rPr>
                <w:spacing w:val="-4"/>
                <w:sz w:val="18"/>
                <w:szCs w:val="18"/>
              </w:rPr>
              <w:t>.718</w:t>
            </w:r>
          </w:p>
        </w:tc>
        <w:tc>
          <w:tcPr>
            <w:tcW w:w="938" w:type="dxa"/>
            <w:tcBorders>
              <w:bottom w:val="single" w:sz="4" w:space="0" w:color="000000"/>
            </w:tcBorders>
          </w:tcPr>
          <w:p w14:paraId="0C2FC583" w14:textId="77777777" w:rsidR="00635882" w:rsidRPr="00B67EFC" w:rsidRDefault="00635882" w:rsidP="00B67EFC">
            <w:pPr>
              <w:pStyle w:val="TableParagraph"/>
              <w:spacing w:line="210" w:lineRule="exact"/>
              <w:ind w:left="110"/>
              <w:jc w:val="center"/>
              <w:rPr>
                <w:sz w:val="18"/>
                <w:szCs w:val="18"/>
              </w:rPr>
            </w:pPr>
            <w:r w:rsidRPr="00B67EFC">
              <w:rPr>
                <w:spacing w:val="-2"/>
                <w:sz w:val="18"/>
                <w:szCs w:val="18"/>
              </w:rPr>
              <w:t>156.302</w:t>
            </w:r>
          </w:p>
        </w:tc>
        <w:tc>
          <w:tcPr>
            <w:tcW w:w="765" w:type="dxa"/>
            <w:tcBorders>
              <w:bottom w:val="single" w:sz="4" w:space="0" w:color="000000"/>
            </w:tcBorders>
          </w:tcPr>
          <w:p w14:paraId="1FB8DF19" w14:textId="77777777" w:rsidR="00635882" w:rsidRPr="00B67EFC" w:rsidRDefault="00635882" w:rsidP="00B67EFC">
            <w:pPr>
              <w:pStyle w:val="TableParagraph"/>
              <w:spacing w:line="210" w:lineRule="exact"/>
              <w:ind w:left="111"/>
              <w:jc w:val="center"/>
              <w:rPr>
                <w:sz w:val="18"/>
                <w:szCs w:val="18"/>
              </w:rPr>
            </w:pPr>
            <w:r w:rsidRPr="00B67EFC">
              <w:rPr>
                <w:spacing w:val="-10"/>
                <w:sz w:val="18"/>
                <w:szCs w:val="18"/>
              </w:rPr>
              <w:t>3</w:t>
            </w:r>
          </w:p>
        </w:tc>
        <w:tc>
          <w:tcPr>
            <w:tcW w:w="765" w:type="dxa"/>
            <w:tcBorders>
              <w:bottom w:val="single" w:sz="4" w:space="0" w:color="000000"/>
            </w:tcBorders>
          </w:tcPr>
          <w:p w14:paraId="125397E1" w14:textId="77777777" w:rsidR="00635882" w:rsidRPr="00B67EFC" w:rsidRDefault="00635882" w:rsidP="00B67EFC">
            <w:pPr>
              <w:pStyle w:val="TableParagraph"/>
              <w:spacing w:line="210" w:lineRule="exact"/>
              <w:ind w:left="112"/>
              <w:jc w:val="center"/>
              <w:rPr>
                <w:sz w:val="18"/>
                <w:szCs w:val="18"/>
              </w:rPr>
            </w:pPr>
            <w:r w:rsidRPr="00B67EFC">
              <w:rPr>
                <w:spacing w:val="-5"/>
                <w:sz w:val="18"/>
                <w:szCs w:val="18"/>
              </w:rPr>
              <w:t>184</w:t>
            </w:r>
          </w:p>
        </w:tc>
        <w:tc>
          <w:tcPr>
            <w:tcW w:w="917" w:type="dxa"/>
            <w:tcBorders>
              <w:bottom w:val="single" w:sz="4" w:space="0" w:color="000000"/>
            </w:tcBorders>
          </w:tcPr>
          <w:p w14:paraId="2BF64564" w14:textId="77777777" w:rsidR="00635882" w:rsidRPr="00B67EFC" w:rsidRDefault="00635882" w:rsidP="00B67EFC">
            <w:pPr>
              <w:pStyle w:val="TableParagraph"/>
              <w:spacing w:line="210" w:lineRule="exact"/>
              <w:ind w:left="112"/>
              <w:jc w:val="center"/>
              <w:rPr>
                <w:sz w:val="18"/>
                <w:szCs w:val="18"/>
              </w:rPr>
            </w:pPr>
            <w:r w:rsidRPr="00B67EFC">
              <w:rPr>
                <w:spacing w:val="-4"/>
                <w:sz w:val="18"/>
                <w:szCs w:val="18"/>
              </w:rPr>
              <w:t>.000</w:t>
            </w:r>
          </w:p>
        </w:tc>
      </w:tr>
      <w:tr w:rsidR="00635882" w:rsidRPr="00B67EFC" w14:paraId="5C1A818A" w14:textId="77777777" w:rsidTr="00B67EFC">
        <w:trPr>
          <w:trHeight w:val="515"/>
        </w:trPr>
        <w:tc>
          <w:tcPr>
            <w:tcW w:w="9100" w:type="dxa"/>
            <w:gridSpan w:val="10"/>
            <w:tcBorders>
              <w:top w:val="single" w:sz="4" w:space="0" w:color="000000"/>
              <w:left w:val="nil"/>
              <w:bottom w:val="nil"/>
              <w:right w:val="nil"/>
            </w:tcBorders>
          </w:tcPr>
          <w:p w14:paraId="650ABC42" w14:textId="77777777" w:rsidR="00635882" w:rsidRPr="00B67EFC" w:rsidRDefault="00635882" w:rsidP="008E7BCA">
            <w:pPr>
              <w:pStyle w:val="TableParagraph"/>
              <w:numPr>
                <w:ilvl w:val="0"/>
                <w:numId w:val="2"/>
              </w:numPr>
              <w:tabs>
                <w:tab w:val="left" w:pos="327"/>
              </w:tabs>
              <w:spacing w:line="229" w:lineRule="exact"/>
              <w:ind w:left="327" w:hanging="220"/>
              <w:rPr>
                <w:sz w:val="18"/>
                <w:szCs w:val="18"/>
              </w:rPr>
            </w:pPr>
            <w:r w:rsidRPr="00B67EFC">
              <w:rPr>
                <w:sz w:val="18"/>
                <w:szCs w:val="18"/>
              </w:rPr>
              <w:t>Predictors:</w:t>
            </w:r>
            <w:r w:rsidRPr="00B67EFC">
              <w:rPr>
                <w:spacing w:val="-12"/>
                <w:sz w:val="18"/>
                <w:szCs w:val="18"/>
              </w:rPr>
              <w:t xml:space="preserve"> </w:t>
            </w:r>
            <w:r w:rsidRPr="00B67EFC">
              <w:rPr>
                <w:sz w:val="18"/>
                <w:szCs w:val="18"/>
              </w:rPr>
              <w:t>(Constant),</w:t>
            </w:r>
            <w:r w:rsidRPr="00B67EFC">
              <w:rPr>
                <w:spacing w:val="-9"/>
                <w:sz w:val="18"/>
                <w:szCs w:val="18"/>
              </w:rPr>
              <w:t xml:space="preserve"> </w:t>
            </w:r>
            <w:r w:rsidRPr="00B67EFC">
              <w:rPr>
                <w:sz w:val="18"/>
                <w:szCs w:val="18"/>
              </w:rPr>
              <w:t>Perceived</w:t>
            </w:r>
            <w:r w:rsidRPr="00B67EFC">
              <w:rPr>
                <w:spacing w:val="-11"/>
                <w:sz w:val="18"/>
                <w:szCs w:val="18"/>
              </w:rPr>
              <w:t xml:space="preserve"> </w:t>
            </w:r>
            <w:r w:rsidRPr="00B67EFC">
              <w:rPr>
                <w:sz w:val="18"/>
                <w:szCs w:val="18"/>
              </w:rPr>
              <w:t>Behavioral</w:t>
            </w:r>
            <w:r w:rsidRPr="00B67EFC">
              <w:rPr>
                <w:spacing w:val="-12"/>
                <w:sz w:val="18"/>
                <w:szCs w:val="18"/>
              </w:rPr>
              <w:t xml:space="preserve"> </w:t>
            </w:r>
            <w:r w:rsidRPr="00B67EFC">
              <w:rPr>
                <w:sz w:val="18"/>
                <w:szCs w:val="18"/>
              </w:rPr>
              <w:t>Control,</w:t>
            </w:r>
            <w:r w:rsidRPr="00B67EFC">
              <w:rPr>
                <w:spacing w:val="-11"/>
                <w:sz w:val="18"/>
                <w:szCs w:val="18"/>
              </w:rPr>
              <w:t xml:space="preserve"> </w:t>
            </w:r>
            <w:r w:rsidRPr="00B67EFC">
              <w:rPr>
                <w:sz w:val="18"/>
                <w:szCs w:val="18"/>
              </w:rPr>
              <w:t>Attitude,</w:t>
            </w:r>
            <w:r w:rsidRPr="00B67EFC">
              <w:rPr>
                <w:spacing w:val="-6"/>
                <w:sz w:val="18"/>
                <w:szCs w:val="18"/>
              </w:rPr>
              <w:t xml:space="preserve"> </w:t>
            </w:r>
            <w:r w:rsidRPr="00B67EFC">
              <w:rPr>
                <w:sz w:val="18"/>
                <w:szCs w:val="18"/>
              </w:rPr>
              <w:t>Subjective</w:t>
            </w:r>
            <w:r w:rsidRPr="00B67EFC">
              <w:rPr>
                <w:spacing w:val="-10"/>
                <w:sz w:val="18"/>
                <w:szCs w:val="18"/>
              </w:rPr>
              <w:t xml:space="preserve"> </w:t>
            </w:r>
            <w:r w:rsidRPr="00B67EFC">
              <w:rPr>
                <w:spacing w:val="-2"/>
                <w:sz w:val="18"/>
                <w:szCs w:val="18"/>
              </w:rPr>
              <w:t>Norms</w:t>
            </w:r>
          </w:p>
          <w:p w14:paraId="67E52071" w14:textId="77777777" w:rsidR="00635882" w:rsidRPr="00B67EFC" w:rsidRDefault="00635882" w:rsidP="008E7BCA">
            <w:pPr>
              <w:pStyle w:val="TableParagraph"/>
              <w:numPr>
                <w:ilvl w:val="0"/>
                <w:numId w:val="2"/>
              </w:numPr>
              <w:tabs>
                <w:tab w:val="left" w:pos="327"/>
              </w:tabs>
              <w:ind w:left="327" w:hanging="220"/>
              <w:rPr>
                <w:sz w:val="18"/>
                <w:szCs w:val="18"/>
              </w:rPr>
            </w:pPr>
            <w:r w:rsidRPr="00B67EFC">
              <w:rPr>
                <w:sz w:val="18"/>
                <w:szCs w:val="18"/>
              </w:rPr>
              <w:t>Dependent</w:t>
            </w:r>
            <w:r w:rsidRPr="00B67EFC">
              <w:rPr>
                <w:spacing w:val="-11"/>
                <w:sz w:val="18"/>
                <w:szCs w:val="18"/>
              </w:rPr>
              <w:t xml:space="preserve"> </w:t>
            </w:r>
            <w:r w:rsidRPr="00B67EFC">
              <w:rPr>
                <w:sz w:val="18"/>
                <w:szCs w:val="18"/>
              </w:rPr>
              <w:t>Variable:</w:t>
            </w:r>
            <w:r w:rsidRPr="00B67EFC">
              <w:rPr>
                <w:spacing w:val="-12"/>
                <w:sz w:val="18"/>
                <w:szCs w:val="18"/>
              </w:rPr>
              <w:t xml:space="preserve"> </w:t>
            </w:r>
            <w:r w:rsidRPr="00B67EFC">
              <w:rPr>
                <w:sz w:val="18"/>
                <w:szCs w:val="18"/>
              </w:rPr>
              <w:t>Patronize</w:t>
            </w:r>
            <w:r w:rsidRPr="00B67EFC">
              <w:rPr>
                <w:spacing w:val="-12"/>
                <w:sz w:val="18"/>
                <w:szCs w:val="18"/>
              </w:rPr>
              <w:t xml:space="preserve"> </w:t>
            </w:r>
            <w:r w:rsidRPr="00B67EFC">
              <w:rPr>
                <w:spacing w:val="-2"/>
                <w:sz w:val="18"/>
                <w:szCs w:val="18"/>
              </w:rPr>
              <w:t>Intention</w:t>
            </w:r>
          </w:p>
        </w:tc>
      </w:tr>
    </w:tbl>
    <w:p w14:paraId="7FE879F3" w14:textId="77777777" w:rsidR="00635882" w:rsidRDefault="00635882" w:rsidP="00635882"/>
    <w:p w14:paraId="67DA30D1" w14:textId="7F18DAAE" w:rsidR="00635882" w:rsidRDefault="00635882" w:rsidP="00635882">
      <w:pPr>
        <w:ind w:firstLine="720"/>
        <w:jc w:val="both"/>
        <w:rPr>
          <w:rFonts w:eastAsiaTheme="minorEastAsia"/>
          <w:lang w:eastAsia="zh-CN"/>
        </w:rPr>
      </w:pPr>
      <w:r w:rsidRPr="00635882">
        <w:t xml:space="preserve">The results of the multiple regression analysis, as detailed in Table 4, further confirm the predictive power of the TPB constructs. The regression model explained 71.8% of the variance in </w:t>
      </w:r>
      <w:r w:rsidRPr="00635882">
        <w:lastRenderedPageBreak/>
        <w:t xml:space="preserve">patronage intentions (R² = 0.718, Adjusted R² = 0.714), demonstrating the TPB framework's relevance in understanding Langkawi's dining behaviours. Among the predictors, subjective norms had the highest beta coefficient, reaffirming their critical role in influencing patronage intentions. This finding underscores the importance of leveraging community-driven marketing strategies that align with </w:t>
      </w:r>
      <w:r w:rsidRPr="00CB591F">
        <w:t>Langkawi's cultural values. Attitudes also significantly influenced patronage intentions, suggesting that enhancing perceptions of food quality, service, and affordability can encourage local dining. Perceived behavioural control emerged as a practical yet substantial predictor, highlighting the need to address barriers such as high prices and limited access to local restaurants.</w:t>
      </w:r>
    </w:p>
    <w:p w14:paraId="1ECC53F1" w14:textId="77777777" w:rsidR="009F7513" w:rsidRPr="009F7513" w:rsidRDefault="009F7513" w:rsidP="00635882">
      <w:pPr>
        <w:ind w:firstLine="720"/>
        <w:jc w:val="both"/>
        <w:rPr>
          <w:rFonts w:eastAsiaTheme="minorEastAsia"/>
          <w:lang w:eastAsia="zh-CN"/>
        </w:rPr>
      </w:pPr>
    </w:p>
    <w:p w14:paraId="04835ADE" w14:textId="5E9DB6DF" w:rsidR="009B4DEF" w:rsidRDefault="00635882" w:rsidP="009B4DEF">
      <w:pPr>
        <w:jc w:val="both"/>
      </w:pPr>
      <w:r w:rsidRPr="00CB591F">
        <w:tab/>
        <w:t>These findings provide actionable insights directly tied to the study's research objectives. The results confirm that attitudes, subjective norms, and perceived behavioural control are essential to patronage intentions. For local restaurant operators and policymakers, these insights highlight the importance of addressing logistical barriers, fostering positive social norms, and improving dining</w:t>
      </w:r>
      <w:r w:rsidRPr="00635882">
        <w:t xml:space="preserve"> experiences to increase local patronage. By validating the TPB framework, this study offers a practical roadmap for sustaining Langkawi's restaurant industry in the face of evolving consumer preferences.</w:t>
      </w:r>
    </w:p>
    <w:p w14:paraId="76007820" w14:textId="77777777" w:rsidR="009B4DEF" w:rsidRDefault="009B4DEF" w:rsidP="009B4DEF">
      <w:pPr>
        <w:jc w:val="center"/>
        <w:rPr>
          <w:rFonts w:ascii="Arial" w:hAnsi="Arial" w:cs="Arial"/>
          <w:b/>
          <w:sz w:val="18"/>
          <w:szCs w:val="18"/>
        </w:rPr>
      </w:pPr>
    </w:p>
    <w:p w14:paraId="6B4BD52A" w14:textId="69CA566B" w:rsidR="00FF4ADA" w:rsidRPr="00CC2E71" w:rsidRDefault="004916F2" w:rsidP="00FF4ADA">
      <w:pPr>
        <w:pStyle w:val="Heading1"/>
        <w:rPr>
          <w:rFonts w:cs="Arial"/>
        </w:rPr>
      </w:pPr>
      <w:r>
        <w:t xml:space="preserve">DISCUSSION </w:t>
      </w:r>
    </w:p>
    <w:p w14:paraId="1A432377" w14:textId="1FBD0EBB" w:rsidR="00635882" w:rsidRDefault="00635882" w:rsidP="00635882">
      <w:pPr>
        <w:tabs>
          <w:tab w:val="left" w:pos="0"/>
        </w:tabs>
        <w:jc w:val="both"/>
        <w:rPr>
          <w:rFonts w:eastAsiaTheme="minorEastAsia"/>
          <w:lang w:eastAsia="zh-CN"/>
        </w:rPr>
      </w:pPr>
      <w:r>
        <w:t>The findings of this study contribute valuable insights to the Theory of Planned Behaviour (TPB) literature, particularly in the context of Langkawi residents’ dining behaviours. The results reveal that attitudes toward local restaurants significantly influence patronage intentions. Participants who positively perceived food quality, affordability, and service were more inclined to support local establishments. This finding aligns with previous studies, such as those by Burkov et al. (2023) and Azman and Majid (2023), emphasising the importance of fostering positive attitudes to build customer loyalty. For local restaurant operators, improving the dining experience—through better food quality, consistent service, and pricing strategies—can encourage greater patronage.</w:t>
      </w:r>
    </w:p>
    <w:p w14:paraId="79E0CA3D" w14:textId="77777777" w:rsidR="009F7513" w:rsidRPr="009F7513" w:rsidRDefault="009F7513" w:rsidP="00635882">
      <w:pPr>
        <w:tabs>
          <w:tab w:val="left" w:pos="0"/>
        </w:tabs>
        <w:jc w:val="both"/>
        <w:rPr>
          <w:rFonts w:eastAsiaTheme="minorEastAsia"/>
          <w:lang w:eastAsia="zh-CN"/>
        </w:rPr>
      </w:pPr>
    </w:p>
    <w:p w14:paraId="1CB43B10" w14:textId="3FBB792D" w:rsidR="00635882" w:rsidRDefault="00635882" w:rsidP="00635882">
      <w:pPr>
        <w:tabs>
          <w:tab w:val="left" w:pos="0"/>
        </w:tabs>
        <w:jc w:val="both"/>
        <w:rPr>
          <w:rFonts w:eastAsiaTheme="minorEastAsia"/>
          <w:lang w:eastAsia="zh-CN"/>
        </w:rPr>
      </w:pPr>
      <w:r>
        <w:t xml:space="preserve">Subjective norms emerged as the most influential factor in predicting patronage intentions, highlighting the critical role of social and cultural expectations, such as recommendations from family or peers, in shaping dining behaviours. These findings echo earlier research by Azman and Majid (2023) and </w:t>
      </w:r>
      <w:proofErr w:type="spellStart"/>
      <w:r>
        <w:t>Tacardon</w:t>
      </w:r>
      <w:proofErr w:type="spellEnd"/>
      <w:r>
        <w:t xml:space="preserve"> et al. (2023), which highlighted the power of community values and social influence in driving consumer behaviour. The strong impact of subjective norms in this study also reflects the unique cultural dynamics of Langkawi, where community ties and shared traditions are deeply embedded in everyday decision-making. For restaurant operators, leveraging these norms through community-driven initiatives, like food festivals or word-of-mouth campaigns, could be a powerful way to boost support for local businesses.</w:t>
      </w:r>
    </w:p>
    <w:p w14:paraId="1240C803" w14:textId="77777777" w:rsidR="009F7513" w:rsidRPr="009F7513" w:rsidRDefault="009F7513" w:rsidP="00635882">
      <w:pPr>
        <w:tabs>
          <w:tab w:val="left" w:pos="0"/>
        </w:tabs>
        <w:jc w:val="both"/>
        <w:rPr>
          <w:rFonts w:eastAsiaTheme="minorEastAsia"/>
          <w:lang w:eastAsia="zh-CN"/>
        </w:rPr>
      </w:pPr>
    </w:p>
    <w:p w14:paraId="494A9C72" w14:textId="5A45C99E" w:rsidR="00635882" w:rsidRDefault="00635882" w:rsidP="00635882">
      <w:pPr>
        <w:tabs>
          <w:tab w:val="left" w:pos="0"/>
        </w:tabs>
        <w:jc w:val="both"/>
        <w:rPr>
          <w:rFonts w:eastAsiaTheme="minorEastAsia"/>
          <w:lang w:eastAsia="zh-CN"/>
        </w:rPr>
      </w:pPr>
      <w:r>
        <w:t>Perceived behavioural control also showed a strong positive relationship with patronage intentions. This finding reinforces practical barriers</w:t>
      </w:r>
      <w:r w:rsidR="00177581">
        <w:t xml:space="preserve">: </w:t>
      </w:r>
      <w:r>
        <w:t>affordability, accessibility, and convenience—are critical for dining behaviour. Previous studies, including Zakaria et al. (2022) and Tager et al. (2021), have shown that reducing logistical challenges encourages greater engagement with local businesses. For Langkawi, addressing these barriers could involve offering value-based pricing, improving transportation access, or creating more family-friendly dining environments. These efforts would not only make dining out more accessible but also enhance residents' confidence in their ability to support local restaurants.</w:t>
      </w:r>
    </w:p>
    <w:p w14:paraId="452C7CF0" w14:textId="77777777" w:rsidR="009F7513" w:rsidRPr="009F7513" w:rsidRDefault="009F7513" w:rsidP="00635882">
      <w:pPr>
        <w:tabs>
          <w:tab w:val="left" w:pos="0"/>
        </w:tabs>
        <w:jc w:val="both"/>
        <w:rPr>
          <w:rFonts w:eastAsiaTheme="minorEastAsia"/>
          <w:lang w:eastAsia="zh-CN"/>
        </w:rPr>
      </w:pPr>
    </w:p>
    <w:p w14:paraId="4E608DC4" w14:textId="56C1DF0C" w:rsidR="00635882" w:rsidRDefault="00635882" w:rsidP="00635882">
      <w:pPr>
        <w:tabs>
          <w:tab w:val="left" w:pos="0"/>
        </w:tabs>
        <w:jc w:val="both"/>
        <w:rPr>
          <w:rFonts w:eastAsiaTheme="minorEastAsia"/>
          <w:lang w:eastAsia="zh-CN"/>
        </w:rPr>
      </w:pPr>
      <w:r w:rsidRPr="00CB591F">
        <w:t xml:space="preserve">Beyond the individual constructs, the findings of this study contribute to the broader TPB literature by validating its application in a tourism-heavy context. The regression analysis revealed that attitudes, subjective norms, and perceived behavioural control collectively explained 71.8% of the variance in patronage intentions. This high explanatory power confirms the robustness of the TPB framework and its relevance for understanding consumer behaviour in Langkawi. Similar studies, by Lim and </w:t>
      </w:r>
      <w:proofErr w:type="gramStart"/>
      <w:r w:rsidRPr="00CB591F">
        <w:t>An</w:t>
      </w:r>
      <w:proofErr w:type="gramEnd"/>
      <w:r w:rsidRPr="00CB591F">
        <w:t xml:space="preserve"> (2021) and Shin et al. (2018), have also highlighted the importance of these constructs in influencing decision-making. However, this study extends those findings by focusing on a localised population and </w:t>
      </w:r>
      <w:r w:rsidRPr="00CB591F">
        <w:lastRenderedPageBreak/>
        <w:t>exploring the interplay between cultural identity and economic challenges in a community-oriented setting.</w:t>
      </w:r>
    </w:p>
    <w:p w14:paraId="40DF6D6B" w14:textId="77777777" w:rsidR="009F7513" w:rsidRPr="009F7513" w:rsidRDefault="009F7513" w:rsidP="00635882">
      <w:pPr>
        <w:tabs>
          <w:tab w:val="left" w:pos="0"/>
        </w:tabs>
        <w:jc w:val="both"/>
        <w:rPr>
          <w:rFonts w:eastAsiaTheme="minorEastAsia"/>
          <w:lang w:eastAsia="zh-CN"/>
        </w:rPr>
      </w:pPr>
    </w:p>
    <w:p w14:paraId="692B7590" w14:textId="56757A36" w:rsidR="00635882" w:rsidRDefault="00635882" w:rsidP="00635882">
      <w:pPr>
        <w:tabs>
          <w:tab w:val="left" w:pos="0"/>
        </w:tabs>
        <w:jc w:val="both"/>
        <w:rPr>
          <w:rFonts w:eastAsiaTheme="minorEastAsia"/>
          <w:lang w:eastAsia="zh-CN"/>
        </w:rPr>
      </w:pPr>
      <w:r w:rsidRPr="00CB591F">
        <w:t>Importantly, this research sheds light on how TPB constructs operate within the unique context of Langkawi. While previous studies have explored dining behaviours in urban or tourist-driven areas, this study emphasises the role of residents in sustaining local businesses. By focusing exclusively on local dining preferences, the findings offer practical insights for restaurant operators and policymakers. Strategies that enhance residents' perceptions, leverage social norms, and address logistical barriers can profoundly impact sustaining local businesses in Langkawi's competitive dining landscape.</w:t>
      </w:r>
    </w:p>
    <w:p w14:paraId="2569A908" w14:textId="77777777" w:rsidR="009F7513" w:rsidRPr="009F7513" w:rsidRDefault="009F7513" w:rsidP="00635882">
      <w:pPr>
        <w:tabs>
          <w:tab w:val="left" w:pos="0"/>
        </w:tabs>
        <w:jc w:val="both"/>
        <w:rPr>
          <w:rFonts w:eastAsiaTheme="minorEastAsia"/>
          <w:lang w:eastAsia="zh-CN"/>
        </w:rPr>
      </w:pPr>
    </w:p>
    <w:p w14:paraId="12A17F06" w14:textId="233C8D81" w:rsidR="00FF4ADA" w:rsidRDefault="00635882" w:rsidP="00635882">
      <w:pPr>
        <w:tabs>
          <w:tab w:val="left" w:pos="0"/>
        </w:tabs>
        <w:jc w:val="both"/>
      </w:pPr>
      <w:r w:rsidRPr="00CB591F">
        <w:t>In summary, the findings significantly contribute to TPB literature while offering actionable recommendations for stakeholders. The strong relationships between attitudes, subjective norms, perceived behavioural control, and patronage intentions validate the relevance</w:t>
      </w:r>
      <w:r>
        <w:t xml:space="preserve"> of TPB constructs in predicting consumer behaviour. By aligning with prior studies and providing localised insights, this study is a valuable resource for understanding and promoting dining behaviours in Langkawi.</w:t>
      </w:r>
    </w:p>
    <w:p w14:paraId="1A99C1F4" w14:textId="77777777" w:rsidR="001F3D8E" w:rsidRPr="0064705B" w:rsidRDefault="001F3D8E" w:rsidP="00635882">
      <w:pPr>
        <w:tabs>
          <w:tab w:val="left" w:pos="0"/>
        </w:tabs>
        <w:jc w:val="both"/>
      </w:pPr>
    </w:p>
    <w:p w14:paraId="53E8C451" w14:textId="77777777" w:rsidR="004916F2" w:rsidRPr="00EB209E" w:rsidRDefault="004916F2" w:rsidP="004916F2">
      <w:pPr>
        <w:pStyle w:val="Heading1"/>
      </w:pPr>
      <w:r w:rsidRPr="00EB209E">
        <w:t>CONCLUSION</w:t>
      </w:r>
    </w:p>
    <w:p w14:paraId="512BC9CE" w14:textId="77777777" w:rsidR="00A020C2" w:rsidRDefault="00A020C2" w:rsidP="009F7513">
      <w:pPr>
        <w:jc w:val="both"/>
      </w:pPr>
      <w:r>
        <w:t>This study provides comprehensive data to examine the factors influencing Langkawi inhabitants' desire to frequent local restaurants under the Theory of Planned Behaviour (TPB) framework. Attitudes, subjective norms, and perceived behavioural control significantly influence consumer behaviour. This model represented 71.8% of the variance in Patronise Intention, demonstrating its predictive solid capability based on these three characteristics.</w:t>
      </w:r>
    </w:p>
    <w:p w14:paraId="17E9B49D" w14:textId="77777777" w:rsidR="00A020C2" w:rsidRDefault="00A020C2" w:rsidP="00A020C2">
      <w:pPr>
        <w:jc w:val="both"/>
      </w:pPr>
    </w:p>
    <w:p w14:paraId="7BC2972A" w14:textId="77777777" w:rsidR="00A020C2" w:rsidRDefault="00A020C2" w:rsidP="009F7513">
      <w:pPr>
        <w:jc w:val="both"/>
      </w:pPr>
      <w:r>
        <w:t>The data indicates that attitudes are the primary factor influencing local inhabitants' intentions to visit restaurants. Individuals with favourable opinions of local dining—regardless of their focus on food quality, expenditure, or overall experience—are more inclined to frequent these establishments consistently. This observation underscores that cultivating a favourable customer attitude should be the primary strategic approach to enhance purchase intention for local host venues. Enhancing food quality, service, and the whole eating experience is paramount for restaurant proprietors to attract local patrons.</w:t>
      </w:r>
    </w:p>
    <w:p w14:paraId="732E25EF" w14:textId="77777777" w:rsidR="00A020C2" w:rsidRDefault="00A020C2" w:rsidP="00A020C2">
      <w:pPr>
        <w:jc w:val="both"/>
      </w:pPr>
    </w:p>
    <w:p w14:paraId="4C722F72" w14:textId="77777777" w:rsidR="00A020C2" w:rsidRDefault="00A020C2" w:rsidP="009F7513">
      <w:pPr>
        <w:jc w:val="both"/>
      </w:pPr>
      <w:r>
        <w:t>The investigation indicates a substantial correlation between Patronising Intention and Subjective Norms. Recommendations from family, friends, and community members significantly influence our dining choices. Given Langkawi's local centredness, characterised by robust cultural and community links, social influence may be an effective strategy to enhance visitation. Restaurant proprietors and marketers might use this opportunity by utilising positive word-of-mouth and social media to cultivate a community ethos of support for local establishments.</w:t>
      </w:r>
    </w:p>
    <w:p w14:paraId="5392F85D" w14:textId="77777777" w:rsidR="00A020C2" w:rsidRDefault="00A020C2" w:rsidP="00A020C2">
      <w:pPr>
        <w:jc w:val="both"/>
      </w:pPr>
    </w:p>
    <w:p w14:paraId="77566887" w14:textId="484EDA5B" w:rsidR="009B4DEF" w:rsidRDefault="00A020C2" w:rsidP="009F7513">
      <w:pPr>
        <w:jc w:val="both"/>
      </w:pPr>
      <w:r>
        <w:t>Perceived behavioural control was a significant predictor since locals are more inclined to patronise local restaurants when they perceive fewer restrictions. These difficulties may manifest as cost, usability, and accessibility. The greater the sense of control that males have over visiting local eateries, the greater the chance of their patronage. This revelation is crucial for restaurant owners in Langkawi since it ensures effective meal pricing and accessibility to these establishments. Logistical obstacles such as pricing, location convenience, and service availability might impede customers' impression of control, raising the chance of patronage</w:t>
      </w:r>
      <w:r w:rsidR="009B4DEF">
        <w:t>.</w:t>
      </w:r>
    </w:p>
    <w:p w14:paraId="4461AD1C" w14:textId="77777777" w:rsidR="00A020C2" w:rsidRPr="00CC2E71" w:rsidRDefault="00A020C2" w:rsidP="00A020C2">
      <w:pPr>
        <w:pStyle w:val="Heading2"/>
      </w:pPr>
      <w:r w:rsidRPr="00961480">
        <w:t>Implications for Stakeholders</w:t>
      </w:r>
    </w:p>
    <w:p w14:paraId="723AD520" w14:textId="650D556B" w:rsidR="00A020C2" w:rsidRDefault="00A020C2" w:rsidP="00D66F4F">
      <w:pPr>
        <w:ind w:firstLine="720"/>
        <w:jc w:val="both"/>
      </w:pPr>
      <w:r w:rsidRPr="002C6BD3">
        <w:t xml:space="preserve">The study's findings provide actionable insights for restaurant operators on enhancing local patronage and customer retention. Enhancing service quality and offering distinctive eating experiences can foster good attitudes towards local dining. Moreover, employing the Social Influence technique of Subjective Norms, mainly through community campaigns or word-of-mouth marketing, significantly </w:t>
      </w:r>
      <w:r w:rsidRPr="002C6BD3">
        <w:lastRenderedPageBreak/>
        <w:t>enhances the frequency of restaurant visits. We improve the price and accessibility of dining to mitigate barriers, while Perceived Behavioural Control contributes to increased patronage intention.</w:t>
      </w:r>
    </w:p>
    <w:p w14:paraId="560F112E" w14:textId="77777777" w:rsidR="00A020C2" w:rsidRPr="00CC2E71" w:rsidRDefault="00A020C2" w:rsidP="00A020C2">
      <w:pPr>
        <w:pStyle w:val="Heading2"/>
      </w:pPr>
      <w:r>
        <w:t>Limitation of the Study</w:t>
      </w:r>
    </w:p>
    <w:p w14:paraId="1B12E290" w14:textId="32BAF576" w:rsidR="00A020C2" w:rsidRPr="00CB591F" w:rsidRDefault="00A020C2" w:rsidP="00A020C2">
      <w:pPr>
        <w:jc w:val="both"/>
      </w:pPr>
      <w:r>
        <w:tab/>
      </w:r>
      <w:r w:rsidR="0050141C" w:rsidRPr="00CB591F">
        <w:t xml:space="preserve">This study focused on Langkawi, which limits how much the findings apply to other parts of the </w:t>
      </w:r>
      <w:r w:rsidR="00D310D4" w:rsidRPr="00CB591F">
        <w:t>country</w:t>
      </w:r>
      <w:r w:rsidR="0050141C" w:rsidRPr="00CB591F">
        <w:t xml:space="preserve"> or similar areas elsewhere. Using convenience sampling, while practical, may have introduced some bias, as certain groups might need to be better represented. The exclusion of tourists narrowed the scope to residents, but it missed the chance to explore tourist dining preferences, which are a big part of Langkawi's market. Also, since the data came from self-reported surveys, there is a chance of bias from participants wanting to give socially acceptable answers. Finally, while TPB was the primary framework, factors like product loyalty and cultural connections still needed to be explored</w:t>
      </w:r>
      <w:r w:rsidRPr="00CB591F">
        <w:t>.</w:t>
      </w:r>
    </w:p>
    <w:p w14:paraId="3E8A616A" w14:textId="2CD7FA4A" w:rsidR="00A020C2" w:rsidRPr="00CB591F" w:rsidRDefault="0050141C" w:rsidP="00A020C2">
      <w:pPr>
        <w:pStyle w:val="Heading2"/>
      </w:pPr>
      <w:r w:rsidRPr="00CB591F">
        <w:t>Future Directions</w:t>
      </w:r>
    </w:p>
    <w:p w14:paraId="23F08645" w14:textId="7540E284" w:rsidR="009B4DEF" w:rsidRDefault="00A020C2" w:rsidP="00A020C2">
      <w:pPr>
        <w:jc w:val="both"/>
      </w:pPr>
      <w:r w:rsidRPr="00CB591F">
        <w:tab/>
      </w:r>
      <w:r w:rsidR="00485EF4" w:rsidRPr="00CB591F">
        <w:t>Future research could expand to other regions to capture a broader picture of dining behaviours and include tourists to see how their preferences compare with residents. A key aspect of this research would be long-term studies that track changes in dining habits over time, especially as tourism and economic conditions evolve. Exploring new angles, such as the emotional connection to local foods, habitual behaviours, or loyalty to specific restaurants, could add depth to the findings. Investigating digital marketing, sustainability, and loyalty programs would also provide fresh insights to support Langkawi's restaurant industry and unique cultural appeal.</w:t>
      </w:r>
    </w:p>
    <w:p w14:paraId="340A8DA1" w14:textId="77777777" w:rsidR="001F3D8E" w:rsidRDefault="001F3D8E" w:rsidP="00A020C2">
      <w:pPr>
        <w:jc w:val="both"/>
      </w:pPr>
    </w:p>
    <w:p w14:paraId="5163F63F" w14:textId="581ACF33" w:rsidR="00316E95" w:rsidRPr="00925AD8" w:rsidRDefault="00DA420D" w:rsidP="00FE7549">
      <w:pPr>
        <w:pStyle w:val="Heading1"/>
        <w:rPr>
          <w:i/>
          <w:iCs/>
        </w:rPr>
      </w:pPr>
      <w:r>
        <w:t>A</w:t>
      </w:r>
      <w:r w:rsidR="00EB209E" w:rsidRPr="00EB209E">
        <w:t>CKNOWLEDGEMENTS</w:t>
      </w:r>
      <w:r w:rsidR="00925AD8">
        <w:t xml:space="preserve"> </w:t>
      </w:r>
    </w:p>
    <w:p w14:paraId="02EAC068" w14:textId="48E989AF" w:rsidR="00316E95" w:rsidRDefault="00EB35A3" w:rsidP="00E87C31">
      <w:pPr>
        <w:jc w:val="both"/>
      </w:pPr>
      <w:r w:rsidRPr="00EB35A3">
        <w:t xml:space="preserve">The authors would like to express their sincere gratitude to Universiti Teknologi MARA, Pulau Pinang </w:t>
      </w:r>
      <w:r w:rsidR="00177581">
        <w:t xml:space="preserve">Branch </w:t>
      </w:r>
      <w:r w:rsidRPr="00EB35A3">
        <w:t xml:space="preserve">(UITMCPP) for </w:t>
      </w:r>
      <w:r w:rsidR="00DA1C98" w:rsidRPr="00EB35A3">
        <w:t>their</w:t>
      </w:r>
      <w:r w:rsidRPr="00EB35A3">
        <w:t xml:space="preserve"> invaluable support in providing essential facilities and equipment, which significantly contributed to the success of our work. We are also immensely grateful to our collaborators, whose expertise and dedication enhanced both this project and related efforts. Each research team member brought unique insights, enriching our scientific achievements and personal growth. Finally, we extend our most profound appreciation to all the participants whose involvement was instrumental in completing this research.</w:t>
      </w:r>
    </w:p>
    <w:p w14:paraId="4AE3F345" w14:textId="77777777" w:rsidR="001F3D8E" w:rsidRDefault="001F3D8E" w:rsidP="00E87C31">
      <w:pPr>
        <w:jc w:val="both"/>
      </w:pPr>
    </w:p>
    <w:p w14:paraId="570C1FB0" w14:textId="26109286" w:rsidR="00B8450C" w:rsidRPr="00925AD8" w:rsidRDefault="00B8450C" w:rsidP="00B8450C">
      <w:pPr>
        <w:pStyle w:val="Heading1"/>
        <w:rPr>
          <w:i/>
          <w:iCs/>
        </w:rPr>
      </w:pPr>
      <w:r>
        <w:t xml:space="preserve">FUNDING </w:t>
      </w:r>
    </w:p>
    <w:p w14:paraId="62AD3417" w14:textId="2CA6B712" w:rsidR="00B37350" w:rsidRDefault="00BD18F0" w:rsidP="00BD18F0">
      <w:pPr>
        <w:jc w:val="both"/>
      </w:pPr>
      <w:r w:rsidRPr="005D345E">
        <w:t>This research received no specific grant from any funding agency in the public, commercial, or not-for-profit sectors.</w:t>
      </w:r>
    </w:p>
    <w:p w14:paraId="47E073AB" w14:textId="77777777" w:rsidR="001F3D8E" w:rsidRDefault="001F3D8E" w:rsidP="00BD18F0">
      <w:pPr>
        <w:jc w:val="both"/>
      </w:pPr>
    </w:p>
    <w:p w14:paraId="009EA9D0" w14:textId="64D1D620" w:rsidR="00925AD8" w:rsidRPr="00925AD8" w:rsidRDefault="00925AD8" w:rsidP="00925AD8">
      <w:pPr>
        <w:pStyle w:val="Heading1"/>
        <w:rPr>
          <w:i/>
          <w:iCs/>
          <w:color w:val="FF0000"/>
        </w:rPr>
      </w:pPr>
      <w:r>
        <w:t xml:space="preserve">AUTHORS’ CONTRIBUTION </w:t>
      </w:r>
    </w:p>
    <w:p w14:paraId="1BA76A1D" w14:textId="6A6792F8" w:rsidR="00925AD8" w:rsidRDefault="00361D3C" w:rsidP="006C4C94">
      <w:pPr>
        <w:jc w:val="both"/>
      </w:pPr>
      <w:r w:rsidRPr="00361D3C">
        <w:t>The contributions of each author to this research project are as follows:</w:t>
      </w:r>
      <w:r w:rsidR="00E87C31">
        <w:t xml:space="preserve"> </w:t>
      </w:r>
      <w:proofErr w:type="spellStart"/>
      <w:r w:rsidR="00E87C31" w:rsidRPr="00E87C31">
        <w:t>Khasmi</w:t>
      </w:r>
      <w:proofErr w:type="spellEnd"/>
      <w:r w:rsidR="00E87C31">
        <w:t>, N. N.</w:t>
      </w:r>
      <w:r w:rsidR="00E87C31" w:rsidRPr="00E87C31">
        <w:t xml:space="preserve"> </w:t>
      </w:r>
      <w:r w:rsidR="00E87C31">
        <w:t xml:space="preserve">M. </w:t>
      </w:r>
      <w:r w:rsidR="00E87C31" w:rsidRPr="00E87C31">
        <w:t>and Saber</w:t>
      </w:r>
      <w:r w:rsidR="00E87C31">
        <w:t xml:space="preserve">; J. M. </w:t>
      </w:r>
      <w:r w:rsidR="00E87C31" w:rsidRPr="00E87C31">
        <w:t xml:space="preserve">led the research project, with </w:t>
      </w:r>
      <w:proofErr w:type="spellStart"/>
      <w:r w:rsidR="00E87C31" w:rsidRPr="00E87C31">
        <w:t>Khasmi</w:t>
      </w:r>
      <w:proofErr w:type="spellEnd"/>
      <w:r w:rsidR="00E87C31">
        <w:t>, N. N.</w:t>
      </w:r>
      <w:r w:rsidR="00E87C31" w:rsidRPr="00E87C31">
        <w:t xml:space="preserve"> </w:t>
      </w:r>
      <w:r w:rsidR="00E87C31">
        <w:t xml:space="preserve">M. </w:t>
      </w:r>
      <w:r w:rsidR="00E87C31" w:rsidRPr="00E87C31">
        <w:t xml:space="preserve">and </w:t>
      </w:r>
      <w:proofErr w:type="spellStart"/>
      <w:r w:rsidR="00E87C31" w:rsidRPr="00E87C31">
        <w:t>Sharullain</w:t>
      </w:r>
      <w:proofErr w:type="spellEnd"/>
      <w:r w:rsidR="00E87C31">
        <w:t>,</w:t>
      </w:r>
      <w:r w:rsidR="00E87C31" w:rsidRPr="00E87C31">
        <w:t xml:space="preserve"> </w:t>
      </w:r>
      <w:r w:rsidR="00E87C31">
        <w:t xml:space="preserve">N. S. </w:t>
      </w:r>
      <w:r w:rsidR="00E87C31" w:rsidRPr="00E87C31">
        <w:t xml:space="preserve">leading conceptualization, </w:t>
      </w:r>
      <w:proofErr w:type="spellStart"/>
      <w:r w:rsidR="00E87C31" w:rsidRPr="00E87C31">
        <w:t>Khasmi</w:t>
      </w:r>
      <w:proofErr w:type="spellEnd"/>
      <w:r w:rsidR="00E87C31" w:rsidRPr="00E87C31">
        <w:t xml:space="preserve"> and </w:t>
      </w:r>
      <w:r w:rsidR="00E87C31">
        <w:t>Salim, A.</w:t>
      </w:r>
      <w:r w:rsidR="00E87C31" w:rsidRPr="00E87C31">
        <w:t xml:space="preserve"> designing methodology, and </w:t>
      </w:r>
      <w:proofErr w:type="spellStart"/>
      <w:r w:rsidR="00E87C31" w:rsidRPr="00E87C31">
        <w:t>Khasmi</w:t>
      </w:r>
      <w:proofErr w:type="spellEnd"/>
      <w:r w:rsidR="00E87C31" w:rsidRPr="00E87C31">
        <w:t xml:space="preserve"> and </w:t>
      </w:r>
      <w:proofErr w:type="spellStart"/>
      <w:r w:rsidR="00E87C31" w:rsidRPr="00E87C31">
        <w:t>Sharullain</w:t>
      </w:r>
      <w:proofErr w:type="spellEnd"/>
      <w:r w:rsidR="00E87C31" w:rsidRPr="00E87C31">
        <w:t xml:space="preserve"> conducting data collection. </w:t>
      </w:r>
      <w:proofErr w:type="spellStart"/>
      <w:r w:rsidR="00E87C31" w:rsidRPr="00E87C31">
        <w:t>Sharullain</w:t>
      </w:r>
      <w:proofErr w:type="spellEnd"/>
      <w:r w:rsidR="00E87C31">
        <w:t>,</w:t>
      </w:r>
      <w:r w:rsidR="00E87C31" w:rsidRPr="00E87C31">
        <w:t xml:space="preserve"> </w:t>
      </w:r>
      <w:r w:rsidR="00E87C31">
        <w:t>N. S.</w:t>
      </w:r>
      <w:r w:rsidR="00E87C31" w:rsidRPr="00E87C31">
        <w:t xml:space="preserve"> and </w:t>
      </w:r>
      <w:r w:rsidR="00E87C31">
        <w:t>Ibrahim, M. Z. F.</w:t>
      </w:r>
      <w:r w:rsidR="00E87C31" w:rsidRPr="00E87C31">
        <w:t xml:space="preserve"> performed data analysis, while Salim</w:t>
      </w:r>
      <w:r w:rsidR="00E87C31">
        <w:t>, A.</w:t>
      </w:r>
      <w:r w:rsidR="00E87C31" w:rsidRPr="00E87C31">
        <w:t xml:space="preserve"> and Mahat</w:t>
      </w:r>
      <w:r w:rsidR="00E87C31">
        <w:t>, F.</w:t>
      </w:r>
      <w:r w:rsidR="00E87C31" w:rsidRPr="00E87C31">
        <w:t xml:space="preserve"> contributed to the initial manuscript.</w:t>
      </w:r>
      <w:r w:rsidR="00E87C31">
        <w:t xml:space="preserve"> </w:t>
      </w:r>
      <w:r w:rsidR="00E87C31" w:rsidRPr="00E87C31">
        <w:t>Mahat</w:t>
      </w:r>
      <w:r w:rsidR="00E87C31">
        <w:t>, F.</w:t>
      </w:r>
      <w:r w:rsidR="00E87C31" w:rsidRPr="00E87C31">
        <w:t xml:space="preserve"> and Ibrahim, M. Z. F.  reviewed and edited the manuscript, while Saber</w:t>
      </w:r>
      <w:r w:rsidR="00E87C31">
        <w:t>,</w:t>
      </w:r>
      <w:r w:rsidR="00E87C31" w:rsidRPr="00E87C31">
        <w:t xml:space="preserve"> </w:t>
      </w:r>
      <w:r w:rsidR="00E87C31">
        <w:t xml:space="preserve">J. M. </w:t>
      </w:r>
      <w:r w:rsidR="00E87C31" w:rsidRPr="00E87C31">
        <w:t>managed project administration. Each author's role was crucial in ensuring the study's quality and integrity.</w:t>
      </w:r>
    </w:p>
    <w:p w14:paraId="605B4E5B" w14:textId="39822F60" w:rsidR="00E02EC8" w:rsidRDefault="00E02EC8" w:rsidP="00FE7549">
      <w:pPr>
        <w:pStyle w:val="Heading1"/>
        <w:rPr>
          <w:i/>
          <w:iCs/>
        </w:rPr>
      </w:pPr>
      <w:r>
        <w:lastRenderedPageBreak/>
        <w:t xml:space="preserve">CONFLICT OF INTEREST DECLARATION </w:t>
      </w:r>
    </w:p>
    <w:p w14:paraId="58A98522" w14:textId="5DBA8404" w:rsidR="00E02EC8" w:rsidRDefault="00E02EC8" w:rsidP="00E02EC8">
      <w:pPr>
        <w:jc w:val="both"/>
        <w:rPr>
          <w:rFonts w:ascii="Arial" w:eastAsiaTheme="majorEastAsia" w:hAnsi="Arial" w:cstheme="majorBidi"/>
          <w:b/>
          <w:bCs/>
          <w:sz w:val="24"/>
          <w:szCs w:val="28"/>
        </w:rPr>
      </w:pPr>
      <w:r w:rsidRPr="00E02EC8">
        <w:t xml:space="preserve">We certify </w:t>
      </w:r>
      <w:r w:rsidR="00361D3C">
        <w:t>that t</w:t>
      </w:r>
      <w:r w:rsidR="003A4AD0" w:rsidRPr="003A4AD0">
        <w:t xml:space="preserve">his article is the authors' and co-authors' original work. It has not previously been published, nor is it currently being considered for publication in any other journal. Furthermore, no portion of this research or document has been submitted or published elsewhere in any way. All authors contributed significantly to the research, assuring the accuracy, trustworthiness, and interpretation of the data for submission to </w:t>
      </w:r>
      <w:proofErr w:type="spellStart"/>
      <w:r w:rsidR="003A4AD0" w:rsidRPr="003A4AD0">
        <w:t>Jurnal</w:t>
      </w:r>
      <w:proofErr w:type="spellEnd"/>
      <w:r w:rsidR="003A4AD0" w:rsidRPr="003A4AD0">
        <w:t xml:space="preserve"> </w:t>
      </w:r>
      <w:proofErr w:type="spellStart"/>
      <w:r w:rsidR="003A4AD0" w:rsidRPr="003A4AD0">
        <w:t>Intelek</w:t>
      </w:r>
      <w:proofErr w:type="spellEnd"/>
      <w:r w:rsidR="003A4AD0" w:rsidRPr="003A4AD0">
        <w:t>.</w:t>
      </w:r>
      <w:r w:rsidRPr="00E02EC8">
        <w:rPr>
          <w:rFonts w:ascii="Arial" w:eastAsiaTheme="majorEastAsia" w:hAnsi="Arial" w:cstheme="majorBidi"/>
          <w:b/>
          <w:bCs/>
          <w:sz w:val="24"/>
          <w:szCs w:val="28"/>
        </w:rPr>
        <w:t xml:space="preserve"> </w:t>
      </w:r>
    </w:p>
    <w:p w14:paraId="5767639F" w14:textId="77777777" w:rsidR="009459D5" w:rsidRDefault="009459D5" w:rsidP="00E02EC8">
      <w:pPr>
        <w:jc w:val="both"/>
        <w:rPr>
          <w:rFonts w:ascii="Arial" w:eastAsiaTheme="majorEastAsia" w:hAnsi="Arial" w:cstheme="majorBidi"/>
          <w:b/>
          <w:bCs/>
          <w:sz w:val="24"/>
          <w:szCs w:val="28"/>
        </w:rPr>
      </w:pPr>
    </w:p>
    <w:p w14:paraId="02550E5E" w14:textId="0A19C59E" w:rsidR="00CE25B1" w:rsidRPr="00FD320A" w:rsidRDefault="00EB209E" w:rsidP="00FE7549">
      <w:pPr>
        <w:pStyle w:val="Heading1"/>
      </w:pPr>
      <w:r w:rsidRPr="00D00B21">
        <w:t>REFERENCES</w:t>
      </w:r>
      <w:r>
        <w:t xml:space="preserve"> </w:t>
      </w:r>
    </w:p>
    <w:p w14:paraId="6779FB86" w14:textId="77777777" w:rsidR="00EA6802" w:rsidRPr="00080EA5" w:rsidRDefault="00EA6802" w:rsidP="00714B3B">
      <w:pPr>
        <w:pStyle w:val="NormalWeb"/>
        <w:spacing w:before="0" w:beforeAutospacing="0" w:after="0" w:afterAutospacing="0"/>
        <w:ind w:left="567" w:hanging="567"/>
        <w:jc w:val="both"/>
        <w:rPr>
          <w:color w:val="000000" w:themeColor="text1"/>
        </w:rPr>
      </w:pPr>
      <w:r w:rsidRPr="00080EA5">
        <w:rPr>
          <w:color w:val="000000" w:themeColor="text1"/>
        </w:rPr>
        <w:t xml:space="preserve">Ab Rashid, M. F., Abdul Aziz, M. A., &amp; Abd Rahman, A. (2021). Community involvement in ecotourism and implications on social in Langkawi Island, Malaysia. </w:t>
      </w:r>
      <w:r w:rsidRPr="00080EA5">
        <w:rPr>
          <w:rStyle w:val="Emphasis"/>
          <w:color w:val="000000" w:themeColor="text1"/>
        </w:rPr>
        <w:t>EPRA International Journal of Multidisciplinary Research (IJMR)</w:t>
      </w:r>
      <w:r w:rsidRPr="00080EA5">
        <w:rPr>
          <w:color w:val="000000" w:themeColor="text1"/>
        </w:rPr>
        <w:t xml:space="preserve">, 169–187. </w:t>
      </w:r>
      <w:hyperlink r:id="rId9" w:tgtFrame="_new" w:history="1">
        <w:r w:rsidRPr="00792FF6">
          <w:rPr>
            <w:rStyle w:val="Hyperlink"/>
            <w:color w:val="000000" w:themeColor="text1"/>
            <w:u w:val="none"/>
          </w:rPr>
          <w:t>https://doi.org/10.36713/epra8950</w:t>
        </w:r>
      </w:hyperlink>
    </w:p>
    <w:p w14:paraId="4DB337BE" w14:textId="77777777" w:rsidR="00EA6802" w:rsidRPr="00080EA5" w:rsidRDefault="00EA6802" w:rsidP="00714B3B">
      <w:pPr>
        <w:pStyle w:val="NormalWeb"/>
        <w:spacing w:before="0" w:beforeAutospacing="0" w:after="0" w:afterAutospacing="0"/>
        <w:ind w:left="567" w:hanging="567"/>
        <w:jc w:val="both"/>
        <w:rPr>
          <w:color w:val="000000" w:themeColor="text1"/>
        </w:rPr>
      </w:pPr>
      <w:r w:rsidRPr="00080EA5">
        <w:rPr>
          <w:color w:val="000000" w:themeColor="text1"/>
        </w:rPr>
        <w:t xml:space="preserve">Ahmad, R., Abdullah, J. E., Zainol, N. A., &amp; </w:t>
      </w:r>
      <w:proofErr w:type="spellStart"/>
      <w:r w:rsidRPr="00080EA5">
        <w:rPr>
          <w:color w:val="000000" w:themeColor="text1"/>
        </w:rPr>
        <w:t>Ramely</w:t>
      </w:r>
      <w:proofErr w:type="spellEnd"/>
      <w:r w:rsidRPr="00080EA5">
        <w:rPr>
          <w:color w:val="000000" w:themeColor="text1"/>
        </w:rPr>
        <w:t xml:space="preserve">, A. (2023). Attracting customers using sustainability: A look at The </w:t>
      </w:r>
      <w:proofErr w:type="spellStart"/>
      <w:r w:rsidRPr="00080EA5">
        <w:rPr>
          <w:color w:val="000000" w:themeColor="text1"/>
        </w:rPr>
        <w:t>Datai</w:t>
      </w:r>
      <w:proofErr w:type="spellEnd"/>
      <w:r w:rsidRPr="00080EA5">
        <w:rPr>
          <w:color w:val="000000" w:themeColor="text1"/>
        </w:rPr>
        <w:t xml:space="preserve">, Langkawi. </w:t>
      </w:r>
      <w:r w:rsidRPr="00080EA5">
        <w:rPr>
          <w:rStyle w:val="Emphasis"/>
          <w:color w:val="000000" w:themeColor="text1"/>
        </w:rPr>
        <w:t>Journal of Business Management and Accounting</w:t>
      </w:r>
      <w:r w:rsidRPr="00080EA5">
        <w:rPr>
          <w:color w:val="000000" w:themeColor="text1"/>
        </w:rPr>
        <w:t xml:space="preserve">, </w:t>
      </w:r>
      <w:r w:rsidRPr="00080EA5">
        <w:rPr>
          <w:rStyle w:val="Emphasis"/>
          <w:color w:val="000000" w:themeColor="text1"/>
        </w:rPr>
        <w:t>13</w:t>
      </w:r>
      <w:r w:rsidRPr="00080EA5">
        <w:rPr>
          <w:color w:val="000000" w:themeColor="text1"/>
        </w:rPr>
        <w:t xml:space="preserve">(1), 57–78. </w:t>
      </w:r>
      <w:hyperlink r:id="rId10" w:tgtFrame="_new" w:history="1">
        <w:r w:rsidRPr="00792FF6">
          <w:rPr>
            <w:rStyle w:val="Hyperlink"/>
            <w:color w:val="000000" w:themeColor="text1"/>
            <w:u w:val="none"/>
          </w:rPr>
          <w:t>https://doi.org/10.32890/jbma2023.13.1.3</w:t>
        </w:r>
      </w:hyperlink>
    </w:p>
    <w:p w14:paraId="6F6E5BB9" w14:textId="77777777" w:rsidR="00EA6802" w:rsidRPr="00080EA5" w:rsidRDefault="00EA6802" w:rsidP="00714B3B">
      <w:pPr>
        <w:pStyle w:val="NormalWeb"/>
        <w:spacing w:before="0" w:beforeAutospacing="0" w:after="0" w:afterAutospacing="0"/>
        <w:ind w:left="567" w:hanging="567"/>
        <w:jc w:val="both"/>
        <w:rPr>
          <w:color w:val="000000" w:themeColor="text1"/>
        </w:rPr>
      </w:pPr>
      <w:r w:rsidRPr="00080EA5">
        <w:rPr>
          <w:color w:val="000000" w:themeColor="text1"/>
        </w:rPr>
        <w:t xml:space="preserve">Ajzen, I. (1985). From intentions to actions: A theory of planned behaviour. In </w:t>
      </w:r>
      <w:r w:rsidRPr="00080EA5">
        <w:rPr>
          <w:rStyle w:val="Emphasis"/>
          <w:color w:val="000000" w:themeColor="text1"/>
        </w:rPr>
        <w:t>Action Control</w:t>
      </w:r>
      <w:r w:rsidRPr="00080EA5">
        <w:rPr>
          <w:color w:val="000000" w:themeColor="text1"/>
        </w:rPr>
        <w:t xml:space="preserve"> (pp. 11–39). Springer Berlin Heidelberg</w:t>
      </w:r>
      <w:r w:rsidRPr="00792FF6">
        <w:rPr>
          <w:color w:val="000000" w:themeColor="text1"/>
        </w:rPr>
        <w:t xml:space="preserve">. </w:t>
      </w:r>
      <w:hyperlink r:id="rId11" w:tgtFrame="_new" w:history="1">
        <w:r w:rsidRPr="00792FF6">
          <w:rPr>
            <w:rStyle w:val="Hyperlink"/>
            <w:color w:val="000000" w:themeColor="text1"/>
            <w:u w:val="none"/>
          </w:rPr>
          <w:t>https://doi.org/10.1007/978-3-642-69746-3_2</w:t>
        </w:r>
      </w:hyperlink>
    </w:p>
    <w:p w14:paraId="77C1B107"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080EA5">
        <w:rPr>
          <w:color w:val="000000" w:themeColor="text1"/>
        </w:rPr>
        <w:t xml:space="preserve">Albiston, I. (2021, July 8). How to eat like a local in Langkawi. </w:t>
      </w:r>
      <w:r w:rsidRPr="00080EA5">
        <w:rPr>
          <w:rStyle w:val="Emphasis"/>
          <w:color w:val="000000" w:themeColor="text1"/>
        </w:rPr>
        <w:t>Lonely Planet</w:t>
      </w:r>
      <w:r w:rsidRPr="00080EA5">
        <w:rPr>
          <w:color w:val="000000" w:themeColor="text1"/>
        </w:rPr>
        <w:t xml:space="preserve">. </w:t>
      </w:r>
      <w:hyperlink r:id="rId12" w:tgtFrame="_new" w:history="1">
        <w:r w:rsidRPr="00792FF6">
          <w:rPr>
            <w:rStyle w:val="Hyperlink"/>
            <w:color w:val="000000" w:themeColor="text1"/>
            <w:u w:val="none"/>
          </w:rPr>
          <w:t>https://www.lonelyplanet.com/articles/how-to-eat-like-a-local-in-langkawi</w:t>
        </w:r>
      </w:hyperlink>
    </w:p>
    <w:p w14:paraId="5CB15E3D"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Arefin, A. I. F., Mohd </w:t>
      </w:r>
      <w:proofErr w:type="spellStart"/>
      <w:r w:rsidRPr="00792FF6">
        <w:rPr>
          <w:color w:val="000000" w:themeColor="text1"/>
        </w:rPr>
        <w:t>Fuza</w:t>
      </w:r>
      <w:proofErr w:type="spellEnd"/>
      <w:r w:rsidRPr="00792FF6">
        <w:rPr>
          <w:color w:val="000000" w:themeColor="text1"/>
        </w:rPr>
        <w:t xml:space="preserve">, Z. I., &amp; Samsudin, N. A. (2023). Transgenerational entrepreneurship potential towards the food family businesses’ sustainability in Langkawi, Malaysia. </w:t>
      </w:r>
      <w:r w:rsidRPr="00792FF6">
        <w:rPr>
          <w:rStyle w:val="Emphasis"/>
          <w:color w:val="000000" w:themeColor="text1"/>
        </w:rPr>
        <w:t>International Journal of Business and Technology Management</w:t>
      </w:r>
      <w:r w:rsidRPr="00792FF6">
        <w:rPr>
          <w:color w:val="000000" w:themeColor="text1"/>
        </w:rPr>
        <w:t xml:space="preserve">, </w:t>
      </w:r>
      <w:r w:rsidRPr="00792FF6">
        <w:rPr>
          <w:rStyle w:val="Emphasis"/>
          <w:color w:val="000000" w:themeColor="text1"/>
        </w:rPr>
        <w:t>5</w:t>
      </w:r>
      <w:r w:rsidRPr="00792FF6">
        <w:rPr>
          <w:color w:val="000000" w:themeColor="text1"/>
        </w:rPr>
        <w:t xml:space="preserve">, 305–311. </w:t>
      </w:r>
      <w:hyperlink r:id="rId13" w:tgtFrame="_new" w:history="1">
        <w:r w:rsidRPr="00792FF6">
          <w:rPr>
            <w:rStyle w:val="Hyperlink"/>
            <w:color w:val="000000" w:themeColor="text1"/>
            <w:u w:val="none"/>
          </w:rPr>
          <w:t>https://doi.org/10.55057/ijbtm.2023.5.s1.29</w:t>
        </w:r>
      </w:hyperlink>
    </w:p>
    <w:p w14:paraId="1B793E60"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Azman, A. B., &amp; Abdul Majid, M. A. (2023). Factors affecting customer preference in selecting family restaurant in Langkawi. </w:t>
      </w:r>
      <w:r w:rsidRPr="00792FF6">
        <w:rPr>
          <w:rStyle w:val="Emphasis"/>
          <w:color w:val="000000" w:themeColor="text1"/>
        </w:rPr>
        <w:t>International Journal of Academic Research in Business and Social Sciences</w:t>
      </w:r>
      <w:r w:rsidRPr="00792FF6">
        <w:rPr>
          <w:color w:val="000000" w:themeColor="text1"/>
        </w:rPr>
        <w:t xml:space="preserve">, </w:t>
      </w:r>
      <w:r w:rsidRPr="00792FF6">
        <w:rPr>
          <w:rStyle w:val="Emphasis"/>
          <w:color w:val="000000" w:themeColor="text1"/>
        </w:rPr>
        <w:t>13</w:t>
      </w:r>
      <w:r w:rsidRPr="00792FF6">
        <w:rPr>
          <w:color w:val="000000" w:themeColor="text1"/>
        </w:rPr>
        <w:t xml:space="preserve">(5), 169–184. </w:t>
      </w:r>
      <w:hyperlink r:id="rId14" w:tgtFrame="_new" w:history="1">
        <w:r w:rsidRPr="00792FF6">
          <w:rPr>
            <w:rStyle w:val="Hyperlink"/>
            <w:color w:val="000000" w:themeColor="text1"/>
            <w:u w:val="none"/>
          </w:rPr>
          <w:t>https://doi.org/10.6007/ijarbss/v13-i5/17013</w:t>
        </w:r>
      </w:hyperlink>
    </w:p>
    <w:p w14:paraId="155AB827" w14:textId="2229335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Burkov, I., Gorgadze, A., &amp; </w:t>
      </w:r>
      <w:proofErr w:type="spellStart"/>
      <w:r w:rsidRPr="00792FF6">
        <w:rPr>
          <w:color w:val="000000" w:themeColor="text1"/>
        </w:rPr>
        <w:t>Trabskaia</w:t>
      </w:r>
      <w:proofErr w:type="spellEnd"/>
      <w:r w:rsidRPr="00792FF6">
        <w:rPr>
          <w:color w:val="000000" w:themeColor="text1"/>
        </w:rPr>
        <w:t xml:space="preserve">, I. (2023). Satisfaction dimensions influencing consumers’ </w:t>
      </w:r>
      <w:proofErr w:type="spellStart"/>
      <w:r w:rsidRPr="00792FF6">
        <w:rPr>
          <w:color w:val="000000" w:themeColor="text1"/>
        </w:rPr>
        <w:t>behavioral</w:t>
      </w:r>
      <w:proofErr w:type="spellEnd"/>
      <w:r w:rsidRPr="00792FF6">
        <w:rPr>
          <w:color w:val="000000" w:themeColor="text1"/>
        </w:rPr>
        <w:t xml:space="preserve"> intentions through structural topic </w:t>
      </w:r>
      <w:proofErr w:type="spellStart"/>
      <w:r w:rsidRPr="00792FF6">
        <w:rPr>
          <w:color w:val="000000" w:themeColor="text1"/>
        </w:rPr>
        <w:t>modeling</w:t>
      </w:r>
      <w:proofErr w:type="spellEnd"/>
      <w:r w:rsidRPr="00792FF6">
        <w:rPr>
          <w:color w:val="000000" w:themeColor="text1"/>
        </w:rPr>
        <w:t xml:space="preserve"> analysis of restaurant reviews. </w:t>
      </w:r>
      <w:r w:rsidRPr="00792FF6">
        <w:rPr>
          <w:rStyle w:val="Emphasis"/>
          <w:color w:val="000000" w:themeColor="text1"/>
        </w:rPr>
        <w:t>Consumer Behavior in Tourism and Hospitality</w:t>
      </w:r>
      <w:r w:rsidRPr="00792FF6">
        <w:rPr>
          <w:color w:val="000000" w:themeColor="text1"/>
        </w:rPr>
        <w:t>.</w:t>
      </w:r>
      <w:r w:rsidR="001D6A79" w:rsidRPr="00792FF6">
        <w:rPr>
          <w:color w:val="000000" w:themeColor="text1"/>
        </w:rPr>
        <w:t xml:space="preserve"> </w:t>
      </w:r>
      <w:r w:rsidR="004F22C9" w:rsidRPr="00792FF6">
        <w:rPr>
          <w:color w:val="000000" w:themeColor="text1"/>
        </w:rPr>
        <w:t>200–214.</w:t>
      </w:r>
      <w:r w:rsidRPr="00792FF6">
        <w:rPr>
          <w:color w:val="000000" w:themeColor="text1"/>
        </w:rPr>
        <w:t xml:space="preserve"> </w:t>
      </w:r>
      <w:hyperlink r:id="rId15" w:tgtFrame="_new" w:history="1">
        <w:r w:rsidRPr="00792FF6">
          <w:rPr>
            <w:rStyle w:val="Hyperlink"/>
            <w:color w:val="000000" w:themeColor="text1"/>
            <w:u w:val="none"/>
          </w:rPr>
          <w:t>https://doi.org/10.1108/cbth-06-2022-0126</w:t>
        </w:r>
      </w:hyperlink>
    </w:p>
    <w:p w14:paraId="54576A63"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Department of Statistics Malaysia. (2020). </w:t>
      </w:r>
      <w:proofErr w:type="spellStart"/>
      <w:r w:rsidRPr="00792FF6">
        <w:rPr>
          <w:color w:val="000000" w:themeColor="text1"/>
        </w:rPr>
        <w:t>Kependudukan</w:t>
      </w:r>
      <w:proofErr w:type="spellEnd"/>
      <w:r w:rsidRPr="00792FF6">
        <w:rPr>
          <w:color w:val="000000" w:themeColor="text1"/>
        </w:rPr>
        <w:t xml:space="preserve"> Negeri Kedah. </w:t>
      </w:r>
      <w:proofErr w:type="spellStart"/>
      <w:r w:rsidRPr="00792FF6">
        <w:rPr>
          <w:rStyle w:val="Emphasis"/>
          <w:color w:val="000000" w:themeColor="text1"/>
        </w:rPr>
        <w:t>Banci</w:t>
      </w:r>
      <w:proofErr w:type="spellEnd"/>
      <w:r w:rsidRPr="00792FF6">
        <w:rPr>
          <w:rStyle w:val="Emphasis"/>
          <w:color w:val="000000" w:themeColor="text1"/>
        </w:rPr>
        <w:t xml:space="preserve"> </w:t>
      </w:r>
      <w:proofErr w:type="spellStart"/>
      <w:r w:rsidRPr="00792FF6">
        <w:rPr>
          <w:rStyle w:val="Emphasis"/>
          <w:color w:val="000000" w:themeColor="text1"/>
        </w:rPr>
        <w:t>Penduduk</w:t>
      </w:r>
      <w:proofErr w:type="spellEnd"/>
      <w:r w:rsidRPr="00792FF6">
        <w:rPr>
          <w:rStyle w:val="Emphasis"/>
          <w:color w:val="000000" w:themeColor="text1"/>
        </w:rPr>
        <w:t xml:space="preserve"> &amp; </w:t>
      </w:r>
      <w:proofErr w:type="spellStart"/>
      <w:r w:rsidRPr="00792FF6">
        <w:rPr>
          <w:rStyle w:val="Emphasis"/>
          <w:color w:val="000000" w:themeColor="text1"/>
        </w:rPr>
        <w:t>Perumahan</w:t>
      </w:r>
      <w:proofErr w:type="spellEnd"/>
      <w:r w:rsidRPr="00792FF6">
        <w:rPr>
          <w:rStyle w:val="Emphasis"/>
          <w:color w:val="000000" w:themeColor="text1"/>
        </w:rPr>
        <w:t xml:space="preserve"> Malaysia 2020</w:t>
      </w:r>
      <w:r w:rsidRPr="00792FF6">
        <w:rPr>
          <w:color w:val="000000" w:themeColor="text1"/>
        </w:rPr>
        <w:t>, 1–14.</w:t>
      </w:r>
    </w:p>
    <w:p w14:paraId="389936FA" w14:textId="5AE335E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Elshaer, I., </w:t>
      </w:r>
      <w:proofErr w:type="spellStart"/>
      <w:r w:rsidRPr="00792FF6">
        <w:rPr>
          <w:color w:val="000000" w:themeColor="text1"/>
        </w:rPr>
        <w:t>Azazz</w:t>
      </w:r>
      <w:proofErr w:type="spellEnd"/>
      <w:r w:rsidRPr="00792FF6">
        <w:rPr>
          <w:color w:val="000000" w:themeColor="text1"/>
        </w:rPr>
        <w:t xml:space="preserve">, A., &amp; Fayyad, S. (2023). Green management and sustainable performance of small- and medium-sized hospitality businesses: Moderating the role of an employee’s pro-environmental behaviour. </w:t>
      </w:r>
      <w:r w:rsidRPr="00792FF6">
        <w:rPr>
          <w:rStyle w:val="Emphasis"/>
          <w:color w:val="000000" w:themeColor="text1"/>
        </w:rPr>
        <w:t>International Journal of Environmental Research and Public Health</w:t>
      </w:r>
      <w:r w:rsidRPr="00792FF6">
        <w:rPr>
          <w:color w:val="000000" w:themeColor="text1"/>
        </w:rPr>
        <w:t xml:space="preserve">, </w:t>
      </w:r>
      <w:r w:rsidRPr="00792FF6">
        <w:rPr>
          <w:rStyle w:val="Emphasis"/>
          <w:color w:val="000000" w:themeColor="text1"/>
        </w:rPr>
        <w:t>20</w:t>
      </w:r>
      <w:r w:rsidR="004F22C9" w:rsidRPr="00792FF6">
        <w:rPr>
          <w:color w:val="000000" w:themeColor="text1"/>
        </w:rPr>
        <w:t xml:space="preserve"> </w:t>
      </w:r>
      <w:r w:rsidR="004F22C9" w:rsidRPr="00792FF6">
        <w:rPr>
          <w:rStyle w:val="Emphasis"/>
          <w:i w:val="0"/>
          <w:color w:val="000000" w:themeColor="text1"/>
        </w:rPr>
        <w:t>(3), 2244</w:t>
      </w:r>
      <w:r w:rsidRPr="00792FF6">
        <w:rPr>
          <w:color w:val="000000" w:themeColor="text1"/>
        </w:rPr>
        <w:t xml:space="preserve">. </w:t>
      </w:r>
      <w:hyperlink r:id="rId16" w:tgtFrame="_new" w:history="1">
        <w:r w:rsidRPr="00792FF6">
          <w:rPr>
            <w:rStyle w:val="Hyperlink"/>
            <w:color w:val="000000" w:themeColor="text1"/>
            <w:u w:val="none"/>
          </w:rPr>
          <w:t>https://doi.org/10.3390/ijerph20032244</w:t>
        </w:r>
      </w:hyperlink>
    </w:p>
    <w:p w14:paraId="68DED495"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lang w:val="sv-SE"/>
        </w:rPr>
        <w:t xml:space="preserve">Huifeng, P., &amp; Ha, H.-Y. (2021). </w:t>
      </w:r>
      <w:r w:rsidRPr="00792FF6">
        <w:rPr>
          <w:color w:val="000000" w:themeColor="text1"/>
        </w:rPr>
        <w:t xml:space="preserve">Temporal effects of online customer reviews on restaurant visit intention: The role of perceived risk. </w:t>
      </w:r>
      <w:r w:rsidRPr="00792FF6">
        <w:rPr>
          <w:rStyle w:val="Emphasis"/>
          <w:color w:val="000000" w:themeColor="text1"/>
        </w:rPr>
        <w:t>Journal of Hospitality Marketing &amp; Management</w:t>
      </w:r>
      <w:r w:rsidRPr="00792FF6">
        <w:rPr>
          <w:color w:val="000000" w:themeColor="text1"/>
        </w:rPr>
        <w:t xml:space="preserve">, </w:t>
      </w:r>
      <w:r w:rsidRPr="00792FF6">
        <w:rPr>
          <w:rStyle w:val="Emphasis"/>
          <w:color w:val="000000" w:themeColor="text1"/>
        </w:rPr>
        <w:t>30</w:t>
      </w:r>
      <w:r w:rsidRPr="00792FF6">
        <w:rPr>
          <w:color w:val="000000" w:themeColor="text1"/>
        </w:rPr>
        <w:t xml:space="preserve">(7), 825–844. </w:t>
      </w:r>
      <w:hyperlink r:id="rId17" w:tgtFrame="_new" w:history="1">
        <w:r w:rsidRPr="00792FF6">
          <w:rPr>
            <w:rStyle w:val="Hyperlink"/>
            <w:color w:val="000000" w:themeColor="text1"/>
            <w:u w:val="none"/>
          </w:rPr>
          <w:t>https://doi.org/10.1080/19368623.2021.1897053</w:t>
        </w:r>
      </w:hyperlink>
    </w:p>
    <w:p w14:paraId="478E4812"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Ismail, A. N. N., Aziz, Y. A., Basha, N. K., &amp; Mahomed, A. S. B. (2021). Gender and age differences in choice of holiday destination: Case of Langkawi, Malaysia. </w:t>
      </w:r>
      <w:r w:rsidRPr="00792FF6">
        <w:rPr>
          <w:rStyle w:val="Emphasis"/>
          <w:color w:val="000000" w:themeColor="text1"/>
        </w:rPr>
        <w:t>Asian Social Science</w:t>
      </w:r>
      <w:r w:rsidRPr="00792FF6">
        <w:rPr>
          <w:color w:val="000000" w:themeColor="text1"/>
        </w:rPr>
        <w:t xml:space="preserve">, </w:t>
      </w:r>
      <w:r w:rsidRPr="00792FF6">
        <w:rPr>
          <w:rStyle w:val="Emphasis"/>
          <w:color w:val="000000" w:themeColor="text1"/>
        </w:rPr>
        <w:t>17</w:t>
      </w:r>
      <w:r w:rsidRPr="00792FF6">
        <w:rPr>
          <w:color w:val="000000" w:themeColor="text1"/>
        </w:rPr>
        <w:t xml:space="preserve">(10), 1–10. </w:t>
      </w:r>
      <w:hyperlink r:id="rId18" w:tgtFrame="_new" w:history="1">
        <w:r w:rsidRPr="00792FF6">
          <w:rPr>
            <w:rStyle w:val="Hyperlink"/>
            <w:color w:val="000000" w:themeColor="text1"/>
            <w:u w:val="none"/>
          </w:rPr>
          <w:t>https://doi.org/10.5539/ass.v17n10p1</w:t>
        </w:r>
      </w:hyperlink>
    </w:p>
    <w:p w14:paraId="386FC29E"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Jamaluddin, A., </w:t>
      </w:r>
      <w:proofErr w:type="spellStart"/>
      <w:r w:rsidRPr="00792FF6">
        <w:rPr>
          <w:color w:val="000000" w:themeColor="text1"/>
        </w:rPr>
        <w:t>Zainalaluddin</w:t>
      </w:r>
      <w:proofErr w:type="spellEnd"/>
      <w:r w:rsidRPr="00792FF6">
        <w:rPr>
          <w:color w:val="000000" w:themeColor="text1"/>
        </w:rPr>
        <w:t xml:space="preserve">, Z., &amp; Zulkifli, Z. (2022). The exploration analysis of socio-economic status of homestay guest in Langkawi and marketing recommendations. </w:t>
      </w:r>
      <w:r w:rsidRPr="00792FF6">
        <w:rPr>
          <w:rStyle w:val="Emphasis"/>
          <w:color w:val="000000" w:themeColor="text1"/>
        </w:rPr>
        <w:t>International Journal of Academic Research in Business and Social Sciences</w:t>
      </w:r>
      <w:r w:rsidRPr="00792FF6">
        <w:rPr>
          <w:color w:val="000000" w:themeColor="text1"/>
        </w:rPr>
        <w:t xml:space="preserve">, </w:t>
      </w:r>
      <w:r w:rsidRPr="00792FF6">
        <w:rPr>
          <w:rStyle w:val="Emphasis"/>
          <w:color w:val="000000" w:themeColor="text1"/>
        </w:rPr>
        <w:t>12</w:t>
      </w:r>
      <w:r w:rsidRPr="00792FF6">
        <w:rPr>
          <w:color w:val="000000" w:themeColor="text1"/>
        </w:rPr>
        <w:t xml:space="preserve">(13), 1–12. </w:t>
      </w:r>
      <w:hyperlink r:id="rId19" w:tgtFrame="_new" w:history="1">
        <w:r w:rsidRPr="00792FF6">
          <w:rPr>
            <w:rStyle w:val="Hyperlink"/>
            <w:color w:val="000000" w:themeColor="text1"/>
            <w:u w:val="none"/>
          </w:rPr>
          <w:t>https://doi.org/10.6007/IJARBSS/v12-i13/14146</w:t>
        </w:r>
      </w:hyperlink>
    </w:p>
    <w:p w14:paraId="3289E657"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lastRenderedPageBreak/>
        <w:t xml:space="preserve">Jin, N. (Paul), Line, N. D., &amp; </w:t>
      </w:r>
      <w:proofErr w:type="spellStart"/>
      <w:r w:rsidRPr="00792FF6">
        <w:rPr>
          <w:color w:val="000000" w:themeColor="text1"/>
        </w:rPr>
        <w:t>Merkebu</w:t>
      </w:r>
      <w:proofErr w:type="spellEnd"/>
      <w:r w:rsidRPr="00792FF6">
        <w:rPr>
          <w:color w:val="000000" w:themeColor="text1"/>
        </w:rPr>
        <w:t xml:space="preserve">, J. (2016). Examining the impact of consumer innovativeness and innovative restaurant image in upscale restaurants. </w:t>
      </w:r>
      <w:r w:rsidRPr="00792FF6">
        <w:rPr>
          <w:rStyle w:val="Emphasis"/>
          <w:color w:val="000000" w:themeColor="text1"/>
        </w:rPr>
        <w:t>Cornell Hospitality Quarterly</w:t>
      </w:r>
      <w:r w:rsidRPr="00792FF6">
        <w:rPr>
          <w:color w:val="000000" w:themeColor="text1"/>
        </w:rPr>
        <w:t xml:space="preserve">, </w:t>
      </w:r>
      <w:r w:rsidRPr="00792FF6">
        <w:rPr>
          <w:rStyle w:val="Emphasis"/>
          <w:color w:val="000000" w:themeColor="text1"/>
        </w:rPr>
        <w:t>57</w:t>
      </w:r>
      <w:r w:rsidRPr="00792FF6">
        <w:rPr>
          <w:color w:val="000000" w:themeColor="text1"/>
        </w:rPr>
        <w:t xml:space="preserve">(3), 268–281. </w:t>
      </w:r>
      <w:hyperlink r:id="rId20" w:tgtFrame="_new" w:history="1">
        <w:r w:rsidRPr="00792FF6">
          <w:rPr>
            <w:rStyle w:val="Hyperlink"/>
            <w:color w:val="000000" w:themeColor="text1"/>
            <w:u w:val="none"/>
          </w:rPr>
          <w:t>https://doi.org/10.1177/1938965515619229</w:t>
        </w:r>
      </w:hyperlink>
    </w:p>
    <w:p w14:paraId="6F566142"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Lim, H.-R., &amp; An, S. (2021). Intention to purchase well-being food among Korean consumers: An application of the theory of planned behavior. </w:t>
      </w:r>
      <w:r w:rsidRPr="00792FF6">
        <w:rPr>
          <w:rStyle w:val="Emphasis"/>
          <w:color w:val="000000" w:themeColor="text1"/>
        </w:rPr>
        <w:t>Food Quality and Preference</w:t>
      </w:r>
      <w:r w:rsidRPr="00792FF6">
        <w:rPr>
          <w:color w:val="000000" w:themeColor="text1"/>
        </w:rPr>
        <w:t xml:space="preserve">, </w:t>
      </w:r>
      <w:r w:rsidRPr="00792FF6">
        <w:rPr>
          <w:rStyle w:val="Emphasis"/>
          <w:color w:val="000000" w:themeColor="text1"/>
        </w:rPr>
        <w:t>88</w:t>
      </w:r>
      <w:r w:rsidRPr="00792FF6">
        <w:rPr>
          <w:color w:val="000000" w:themeColor="text1"/>
        </w:rPr>
        <w:t xml:space="preserve">, 104101. </w:t>
      </w:r>
      <w:hyperlink r:id="rId21" w:tgtFrame="_new" w:history="1">
        <w:r w:rsidRPr="00792FF6">
          <w:rPr>
            <w:rStyle w:val="Hyperlink"/>
            <w:color w:val="000000" w:themeColor="text1"/>
            <w:u w:val="none"/>
          </w:rPr>
          <w:t>https://doi.org/10.1016/j.foodqual.2020.104101</w:t>
        </w:r>
      </w:hyperlink>
    </w:p>
    <w:p w14:paraId="5FDE1005"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Malay Mail. (2023, November 7). Shunned by domestic visitors, tourism group warns Langkawi set to become “ghost town” once again. </w:t>
      </w:r>
      <w:r w:rsidRPr="00792FF6">
        <w:rPr>
          <w:rStyle w:val="Emphasis"/>
          <w:color w:val="000000" w:themeColor="text1"/>
        </w:rPr>
        <w:t>Malay Mail</w:t>
      </w:r>
      <w:r w:rsidRPr="00792FF6">
        <w:rPr>
          <w:color w:val="000000" w:themeColor="text1"/>
        </w:rPr>
        <w:t xml:space="preserve">. </w:t>
      </w:r>
      <w:hyperlink r:id="rId22" w:tgtFrame="_new" w:history="1">
        <w:r w:rsidRPr="00792FF6">
          <w:rPr>
            <w:rStyle w:val="Hyperlink"/>
            <w:color w:val="000000" w:themeColor="text1"/>
            <w:u w:val="none"/>
          </w:rPr>
          <w:t>https://www.malaymail.com/news/malaysia/2023/11/07/shunned-by-domestic-visitors-tourism-group-warns-langkawi-set-to-become-ghost-town-once-again/100720</w:t>
        </w:r>
      </w:hyperlink>
    </w:p>
    <w:p w14:paraId="65197125"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Mohd. Shariff, N., &amp; Tahir, S. (2020). Residents’ attitudes toward impacts of tourism: A case study of Langkawi, Malaysia. </w:t>
      </w:r>
      <w:r w:rsidRPr="00792FF6">
        <w:rPr>
          <w:rStyle w:val="Emphasis"/>
          <w:color w:val="000000" w:themeColor="text1"/>
        </w:rPr>
        <w:t>Malaysian Management Journal</w:t>
      </w:r>
      <w:r w:rsidRPr="00792FF6">
        <w:rPr>
          <w:color w:val="000000" w:themeColor="text1"/>
        </w:rPr>
        <w:t xml:space="preserve">, </w:t>
      </w:r>
      <w:r w:rsidRPr="00792FF6">
        <w:rPr>
          <w:rStyle w:val="Emphasis"/>
          <w:color w:val="000000" w:themeColor="text1"/>
        </w:rPr>
        <w:t>7</w:t>
      </w:r>
      <w:r w:rsidRPr="00792FF6">
        <w:rPr>
          <w:color w:val="000000" w:themeColor="text1"/>
        </w:rPr>
        <w:t xml:space="preserve">, 1–10. </w:t>
      </w:r>
      <w:hyperlink r:id="rId23" w:tgtFrame="_new" w:history="1">
        <w:r w:rsidRPr="00792FF6">
          <w:rPr>
            <w:rStyle w:val="Hyperlink"/>
            <w:color w:val="000000" w:themeColor="text1"/>
            <w:u w:val="none"/>
          </w:rPr>
          <w:t>https://doi.org/10.32890/mmj.7.2.2003.8609</w:t>
        </w:r>
      </w:hyperlink>
    </w:p>
    <w:p w14:paraId="4B77957B"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Moon, S. (2021). Investigating beliefs, attitudes, and intentions regarding green restaurant patronage: An application of the extended theory of planned behavior with moderating effects of gender and age. </w:t>
      </w:r>
      <w:r w:rsidRPr="00792FF6">
        <w:rPr>
          <w:rStyle w:val="Emphasis"/>
          <w:color w:val="000000" w:themeColor="text1"/>
        </w:rPr>
        <w:t>International Journal of Hospitality Management, 92,</w:t>
      </w:r>
      <w:r w:rsidRPr="00792FF6">
        <w:rPr>
          <w:color w:val="000000" w:themeColor="text1"/>
        </w:rPr>
        <w:t xml:space="preserve"> 102727. </w:t>
      </w:r>
      <w:hyperlink r:id="rId24" w:tgtFrame="_new" w:history="1">
        <w:r w:rsidRPr="00792FF6">
          <w:rPr>
            <w:rStyle w:val="Hyperlink"/>
            <w:color w:val="000000" w:themeColor="text1"/>
            <w:u w:val="none"/>
          </w:rPr>
          <w:t>https://doi.org/10.1016/j.ijhm.2020.102727</w:t>
        </w:r>
      </w:hyperlink>
    </w:p>
    <w:p w14:paraId="12A48827" w14:textId="77777777" w:rsidR="007240B3"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Nizam Ibrahim, M. S., Abdul Halim, S., &amp; Ishak, M. Y. (2019). The impacts of tourism development on community well-being in Langkawi: The case of Kampung Padang Puteh, Mukim </w:t>
      </w:r>
      <w:proofErr w:type="spellStart"/>
      <w:r w:rsidRPr="00792FF6">
        <w:rPr>
          <w:color w:val="000000" w:themeColor="text1"/>
        </w:rPr>
        <w:t>Kedawang</w:t>
      </w:r>
      <w:proofErr w:type="spellEnd"/>
      <w:r w:rsidRPr="00792FF6">
        <w:rPr>
          <w:color w:val="000000" w:themeColor="text1"/>
        </w:rPr>
        <w:t xml:space="preserve">. </w:t>
      </w:r>
      <w:r w:rsidRPr="00792FF6">
        <w:rPr>
          <w:rStyle w:val="Emphasis"/>
          <w:color w:val="000000" w:themeColor="text1"/>
        </w:rPr>
        <w:t>Journal of Marine and Island Cultures, 8</w:t>
      </w:r>
      <w:r w:rsidRPr="00792FF6">
        <w:rPr>
          <w:color w:val="000000" w:themeColor="text1"/>
        </w:rPr>
        <w:t>(2).</w:t>
      </w:r>
      <w:r w:rsidR="004F22C9" w:rsidRPr="00792FF6">
        <w:rPr>
          <w:color w:val="000000" w:themeColor="text1"/>
        </w:rPr>
        <w:t xml:space="preserve"> 61–88. </w:t>
      </w:r>
      <w:hyperlink r:id="rId25" w:tgtFrame="_new" w:history="1">
        <w:r w:rsidRPr="00792FF6">
          <w:rPr>
            <w:rStyle w:val="Hyperlink"/>
            <w:color w:val="000000" w:themeColor="text1"/>
            <w:u w:val="none"/>
          </w:rPr>
          <w:t>https://doi.org/10.21463/jmic.2019.08.2.06</w:t>
        </w:r>
      </w:hyperlink>
    </w:p>
    <w:p w14:paraId="74B4D6C5" w14:textId="4D07EBBD" w:rsidR="007240B3"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lang w:val="sv-SE"/>
        </w:rPr>
        <w:t xml:space="preserve">Panova, I., &amp; Zernenkova, D. (2023). </w:t>
      </w:r>
      <w:r w:rsidR="007240B3" w:rsidRPr="00792FF6">
        <w:rPr>
          <w:color w:val="000000" w:themeColor="text1"/>
          <w:lang w:val="sv-SE"/>
        </w:rPr>
        <w:t xml:space="preserve">Iryna Panova, &amp; Zernenkova, D. S. (2023). </w:t>
      </w:r>
      <w:r w:rsidR="007240B3" w:rsidRPr="00792FF6">
        <w:rPr>
          <w:color w:val="000000" w:themeColor="text1"/>
        </w:rPr>
        <w:t>Methods for Assessing the Competitiveness of Enterprises in the Restaurant Industry. </w:t>
      </w:r>
      <w:proofErr w:type="spellStart"/>
      <w:r w:rsidR="007240B3" w:rsidRPr="00792FF6">
        <w:rPr>
          <w:i/>
          <w:iCs/>
          <w:color w:val="000000" w:themeColor="text1"/>
        </w:rPr>
        <w:t>Бізнес</w:t>
      </w:r>
      <w:proofErr w:type="spellEnd"/>
      <w:r w:rsidR="007240B3" w:rsidRPr="00792FF6">
        <w:rPr>
          <w:i/>
          <w:iCs/>
          <w:color w:val="000000" w:themeColor="text1"/>
        </w:rPr>
        <w:t xml:space="preserve"> </w:t>
      </w:r>
      <w:proofErr w:type="spellStart"/>
      <w:r w:rsidR="007240B3" w:rsidRPr="00792FF6">
        <w:rPr>
          <w:i/>
          <w:iCs/>
          <w:color w:val="000000" w:themeColor="text1"/>
        </w:rPr>
        <w:t>інформ</w:t>
      </w:r>
      <w:proofErr w:type="spellEnd"/>
      <w:r w:rsidR="007240B3" w:rsidRPr="00792FF6">
        <w:rPr>
          <w:color w:val="000000" w:themeColor="text1"/>
        </w:rPr>
        <w:t>, </w:t>
      </w:r>
      <w:r w:rsidR="007240B3" w:rsidRPr="00792FF6">
        <w:rPr>
          <w:i/>
          <w:iCs/>
          <w:color w:val="000000" w:themeColor="text1"/>
        </w:rPr>
        <w:t>5</w:t>
      </w:r>
      <w:r w:rsidR="007240B3" w:rsidRPr="00792FF6">
        <w:rPr>
          <w:color w:val="000000" w:themeColor="text1"/>
        </w:rPr>
        <w:t>(544), 229–234. https://doi.org/10.32983/2222-4459-2023-5-229-234</w:t>
      </w:r>
    </w:p>
    <w:p w14:paraId="43E35F83" w14:textId="31AFAE7B" w:rsidR="00EA6802" w:rsidRPr="00792FF6" w:rsidRDefault="007240B3" w:rsidP="00714B3B">
      <w:pPr>
        <w:pStyle w:val="NormalWeb"/>
        <w:spacing w:before="0" w:beforeAutospacing="0" w:after="0" w:afterAutospacing="0"/>
        <w:ind w:left="567" w:hanging="567"/>
        <w:jc w:val="both"/>
        <w:rPr>
          <w:color w:val="000000" w:themeColor="text1"/>
        </w:rPr>
      </w:pPr>
      <w:r w:rsidRPr="00792FF6">
        <w:rPr>
          <w:color w:val="000000" w:themeColor="text1"/>
        </w:rPr>
        <w:t>‌</w:t>
      </w:r>
      <w:r w:rsidR="00EA6802" w:rsidRPr="00792FF6">
        <w:rPr>
          <w:color w:val="000000" w:themeColor="text1"/>
        </w:rPr>
        <w:t xml:space="preserve">Shin, Y., Im, J., Jung, S., &amp; Severt, K. (2018). Locally sourced restaurant: Consumers’ willingness to pay. </w:t>
      </w:r>
      <w:r w:rsidR="00EA6802" w:rsidRPr="00792FF6">
        <w:rPr>
          <w:rStyle w:val="Emphasis"/>
          <w:color w:val="000000" w:themeColor="text1"/>
        </w:rPr>
        <w:t>Journal of Foodservice Business Research, 21,</w:t>
      </w:r>
      <w:r w:rsidR="00EA6802" w:rsidRPr="00792FF6">
        <w:rPr>
          <w:color w:val="000000" w:themeColor="text1"/>
        </w:rPr>
        <w:t xml:space="preserve"> 68–82. </w:t>
      </w:r>
      <w:hyperlink r:id="rId26" w:tgtFrame="_new" w:history="1">
        <w:r w:rsidR="00EA6802" w:rsidRPr="00792FF6">
          <w:rPr>
            <w:rStyle w:val="Hyperlink"/>
            <w:color w:val="000000" w:themeColor="text1"/>
            <w:u w:val="none"/>
          </w:rPr>
          <w:t>https://doi.org/10.1080/15378020.2016.1276319</w:t>
        </w:r>
      </w:hyperlink>
    </w:p>
    <w:p w14:paraId="04D40F84" w14:textId="77777777" w:rsidR="00EA6802" w:rsidRPr="00792FF6" w:rsidRDefault="00EA6802" w:rsidP="00714B3B">
      <w:pPr>
        <w:pStyle w:val="NormalWeb"/>
        <w:spacing w:before="0" w:beforeAutospacing="0" w:after="0" w:afterAutospacing="0"/>
        <w:ind w:left="567" w:hanging="567"/>
        <w:jc w:val="both"/>
        <w:rPr>
          <w:color w:val="000000" w:themeColor="text1"/>
          <w:lang w:val="sv-SE"/>
        </w:rPr>
      </w:pPr>
      <w:proofErr w:type="spellStart"/>
      <w:r w:rsidRPr="00792FF6">
        <w:rPr>
          <w:color w:val="000000" w:themeColor="text1"/>
        </w:rPr>
        <w:t>Sinar</w:t>
      </w:r>
      <w:proofErr w:type="spellEnd"/>
      <w:r w:rsidRPr="00792FF6">
        <w:rPr>
          <w:color w:val="000000" w:themeColor="text1"/>
        </w:rPr>
        <w:t xml:space="preserve"> Harian. </w:t>
      </w:r>
      <w:r w:rsidRPr="00792FF6">
        <w:rPr>
          <w:color w:val="000000" w:themeColor="text1"/>
          <w:lang w:val="sv-SE"/>
        </w:rPr>
        <w:t xml:space="preserve">(2024, January 16). “Harga di Pantai Chenang memang tinggi, Kenapa Ditularkan” - Peniaga. </w:t>
      </w:r>
      <w:r w:rsidRPr="00792FF6">
        <w:rPr>
          <w:rStyle w:val="Emphasis"/>
          <w:color w:val="000000" w:themeColor="text1"/>
          <w:lang w:val="sv-SE"/>
        </w:rPr>
        <w:t>Sinar Harian.</w:t>
      </w:r>
      <w:r w:rsidRPr="00792FF6">
        <w:rPr>
          <w:color w:val="000000" w:themeColor="text1"/>
          <w:lang w:val="sv-SE"/>
        </w:rPr>
        <w:t xml:space="preserve"> </w:t>
      </w:r>
      <w:r w:rsidRPr="00792FF6">
        <w:fldChar w:fldCharType="begin"/>
      </w:r>
      <w:r w:rsidRPr="00792FF6">
        <w:rPr>
          <w:lang w:val="fi-FI"/>
        </w:rPr>
        <w:instrText>HYPERLINK "https://www.sinarharian.com.my/article/644634/berita/semasa/harga-di-pantai-chenang-memang-tinggi-kenapa-ditularkan---peniaga" \t "_new"</w:instrText>
      </w:r>
      <w:r w:rsidRPr="00792FF6">
        <w:fldChar w:fldCharType="separate"/>
      </w:r>
      <w:r w:rsidRPr="00792FF6">
        <w:rPr>
          <w:rStyle w:val="Hyperlink"/>
          <w:color w:val="000000" w:themeColor="text1"/>
          <w:u w:val="none"/>
          <w:lang w:val="sv-SE"/>
        </w:rPr>
        <w:t>https://www.sinarharian.com.my/article/644634/berita/semasa/harga-di-pantai-chenang-memang-tinggi-kenapa-ditularkan---peniaga</w:t>
      </w:r>
      <w:r w:rsidRPr="00792FF6">
        <w:fldChar w:fldCharType="end"/>
      </w:r>
    </w:p>
    <w:p w14:paraId="5663F625"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lang w:val="fi-FI"/>
        </w:rPr>
        <w:t xml:space="preserve">Su, D. N., Johnson, L. W., &amp; O’Mahony, B. (2020). </w:t>
      </w:r>
      <w:r w:rsidRPr="00792FF6">
        <w:rPr>
          <w:color w:val="000000" w:themeColor="text1"/>
        </w:rPr>
        <w:t xml:space="preserve">Will foodies travel for food? Incorporating food travel motivation and destination foodscape into the theory of planned behavior. </w:t>
      </w:r>
      <w:r w:rsidRPr="00792FF6">
        <w:rPr>
          <w:rStyle w:val="Emphasis"/>
          <w:color w:val="000000" w:themeColor="text1"/>
        </w:rPr>
        <w:t>Asia Pacific Journal of Tourism Research, 25</w:t>
      </w:r>
      <w:r w:rsidRPr="00792FF6">
        <w:rPr>
          <w:color w:val="000000" w:themeColor="text1"/>
        </w:rPr>
        <w:t xml:space="preserve">(9), 1012–1028. </w:t>
      </w:r>
      <w:hyperlink r:id="rId27" w:tgtFrame="_new" w:history="1">
        <w:r w:rsidRPr="00792FF6">
          <w:rPr>
            <w:rStyle w:val="Hyperlink"/>
            <w:color w:val="000000" w:themeColor="text1"/>
            <w:u w:val="none"/>
          </w:rPr>
          <w:t>https://doi.org/10.1080/10941665.2020.1805475</w:t>
        </w:r>
      </w:hyperlink>
    </w:p>
    <w:p w14:paraId="53E6D650" w14:textId="77777777" w:rsidR="00EA6802" w:rsidRPr="00792FF6" w:rsidRDefault="00EA6802" w:rsidP="00714B3B">
      <w:pPr>
        <w:pStyle w:val="NormalWeb"/>
        <w:spacing w:before="0" w:beforeAutospacing="0" w:after="0" w:afterAutospacing="0"/>
        <w:ind w:left="567" w:hanging="567"/>
        <w:jc w:val="both"/>
        <w:rPr>
          <w:color w:val="000000" w:themeColor="text1"/>
        </w:rPr>
      </w:pPr>
      <w:proofErr w:type="spellStart"/>
      <w:r w:rsidRPr="00792FF6">
        <w:rPr>
          <w:color w:val="000000" w:themeColor="text1"/>
        </w:rPr>
        <w:t>Tacardon</w:t>
      </w:r>
      <w:proofErr w:type="spellEnd"/>
      <w:r w:rsidRPr="00792FF6">
        <w:rPr>
          <w:color w:val="000000" w:themeColor="text1"/>
        </w:rPr>
        <w:t xml:space="preserve">, E. R., Ong, A. K. S., &amp; </w:t>
      </w:r>
      <w:proofErr w:type="spellStart"/>
      <w:r w:rsidRPr="00792FF6">
        <w:rPr>
          <w:color w:val="000000" w:themeColor="text1"/>
        </w:rPr>
        <w:t>Gumasing</w:t>
      </w:r>
      <w:proofErr w:type="spellEnd"/>
      <w:r w:rsidRPr="00792FF6">
        <w:rPr>
          <w:color w:val="000000" w:themeColor="text1"/>
        </w:rPr>
        <w:t xml:space="preserve">, M. J. J. (2023). The perception of food quality and food value among the purchasing intentions of street foods in the capital of the Philippines. </w:t>
      </w:r>
      <w:r w:rsidRPr="00792FF6">
        <w:rPr>
          <w:rStyle w:val="Emphasis"/>
          <w:color w:val="000000" w:themeColor="text1"/>
        </w:rPr>
        <w:t>Sustainability, 15</w:t>
      </w:r>
      <w:r w:rsidRPr="00792FF6">
        <w:rPr>
          <w:color w:val="000000" w:themeColor="text1"/>
        </w:rPr>
        <w:t xml:space="preserve">(16), 12549. </w:t>
      </w:r>
      <w:hyperlink r:id="rId28" w:tgtFrame="_new" w:history="1">
        <w:r w:rsidRPr="00792FF6">
          <w:rPr>
            <w:rStyle w:val="Hyperlink"/>
            <w:color w:val="000000" w:themeColor="text1"/>
            <w:u w:val="none"/>
          </w:rPr>
          <w:t>https://doi.org/10.3390/su151612549</w:t>
        </w:r>
      </w:hyperlink>
    </w:p>
    <w:p w14:paraId="59B891FA" w14:textId="0CB4E489"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rPr>
        <w:t xml:space="preserve">Tager, A., Zaki, M., Megahed, F., &amp; Abbas, T. (2021). The effect of food quality, service quality, and tangibles on hotel restaurants customer </w:t>
      </w:r>
      <w:proofErr w:type="spellStart"/>
      <w:r w:rsidRPr="00792FF6">
        <w:rPr>
          <w:color w:val="000000" w:themeColor="text1"/>
        </w:rPr>
        <w:t>behavioral</w:t>
      </w:r>
      <w:proofErr w:type="spellEnd"/>
      <w:r w:rsidRPr="00792FF6">
        <w:rPr>
          <w:color w:val="000000" w:themeColor="text1"/>
        </w:rPr>
        <w:t xml:space="preserve"> intentions: The mediating role of customer satisfaction. </w:t>
      </w:r>
      <w:r w:rsidRPr="00792FF6">
        <w:rPr>
          <w:rStyle w:val="Emphasis"/>
          <w:color w:val="000000" w:themeColor="text1"/>
        </w:rPr>
        <w:t>International Journal of Tourism and Hospitality Management</w:t>
      </w:r>
      <w:r w:rsidR="007240B3" w:rsidRPr="00792FF6">
        <w:rPr>
          <w:rStyle w:val="Emphasis"/>
          <w:color w:val="000000" w:themeColor="text1"/>
        </w:rPr>
        <w:t xml:space="preserve">, </w:t>
      </w:r>
      <w:r w:rsidR="007240B3" w:rsidRPr="00792FF6">
        <w:rPr>
          <w:i/>
          <w:color w:val="000000" w:themeColor="text1"/>
        </w:rPr>
        <w:t>4</w:t>
      </w:r>
      <w:r w:rsidR="007240B3" w:rsidRPr="00792FF6">
        <w:rPr>
          <w:color w:val="000000" w:themeColor="text1"/>
        </w:rPr>
        <w:t xml:space="preserve">(2), 218–242. </w:t>
      </w:r>
      <w:hyperlink r:id="rId29" w:tgtFrame="_new" w:history="1">
        <w:r w:rsidRPr="00792FF6">
          <w:rPr>
            <w:rStyle w:val="Hyperlink"/>
            <w:color w:val="000000" w:themeColor="text1"/>
            <w:u w:val="none"/>
          </w:rPr>
          <w:t>https://doi.org/10.21608/ijthm.2021.206790</w:t>
        </w:r>
      </w:hyperlink>
    </w:p>
    <w:p w14:paraId="18C518A3" w14:textId="77777777" w:rsidR="00EA6802" w:rsidRPr="00792FF6" w:rsidRDefault="00EA6802" w:rsidP="00714B3B">
      <w:pPr>
        <w:pStyle w:val="NormalWeb"/>
        <w:spacing w:before="0" w:beforeAutospacing="0" w:after="0" w:afterAutospacing="0"/>
        <w:ind w:left="567" w:hanging="567"/>
        <w:jc w:val="both"/>
        <w:rPr>
          <w:color w:val="000000" w:themeColor="text1"/>
        </w:rPr>
      </w:pPr>
      <w:r w:rsidRPr="00792FF6">
        <w:rPr>
          <w:color w:val="000000" w:themeColor="text1"/>
          <w:lang w:val="sv-SE"/>
        </w:rPr>
        <w:t xml:space="preserve">Tommasetti, A., Singer, P., Troisi, O., &amp; Maione, G. (2018). </w:t>
      </w:r>
      <w:r w:rsidRPr="00792FF6">
        <w:rPr>
          <w:color w:val="000000" w:themeColor="text1"/>
        </w:rPr>
        <w:t xml:space="preserve">Extended theory of planned behavior (ETPB): Investigating customers’ perception of restaurants’ sustainability by testing a structural equation model. </w:t>
      </w:r>
      <w:r w:rsidRPr="00792FF6">
        <w:rPr>
          <w:rStyle w:val="Emphasis"/>
          <w:color w:val="000000" w:themeColor="text1"/>
        </w:rPr>
        <w:t>Sustainability, 10</w:t>
      </w:r>
      <w:r w:rsidRPr="00792FF6">
        <w:rPr>
          <w:color w:val="000000" w:themeColor="text1"/>
        </w:rPr>
        <w:t xml:space="preserve">(7), 2580. </w:t>
      </w:r>
      <w:hyperlink r:id="rId30" w:tgtFrame="_new" w:history="1">
        <w:r w:rsidRPr="00792FF6">
          <w:rPr>
            <w:rStyle w:val="Hyperlink"/>
            <w:color w:val="000000" w:themeColor="text1"/>
            <w:u w:val="none"/>
          </w:rPr>
          <w:t>https://doi.org/10.3390/su10072580</w:t>
        </w:r>
      </w:hyperlink>
    </w:p>
    <w:p w14:paraId="5C4EDF82" w14:textId="77777777" w:rsidR="00EA6802" w:rsidRPr="00080EA5" w:rsidRDefault="00EA6802" w:rsidP="00714B3B">
      <w:pPr>
        <w:pStyle w:val="NormalWeb"/>
        <w:spacing w:before="0" w:beforeAutospacing="0" w:after="0" w:afterAutospacing="0"/>
        <w:ind w:left="567" w:hanging="567"/>
        <w:jc w:val="both"/>
        <w:rPr>
          <w:color w:val="000000" w:themeColor="text1"/>
        </w:rPr>
      </w:pPr>
      <w:r w:rsidRPr="00080EA5">
        <w:rPr>
          <w:color w:val="000000" w:themeColor="text1"/>
        </w:rPr>
        <w:lastRenderedPageBreak/>
        <w:t xml:space="preserve">Yu, Y., Luo, M., &amp; Zhu, D. (2018). The effect of quality attributes on visiting consumers’ patronage intentions of green restaurants. </w:t>
      </w:r>
      <w:r w:rsidRPr="00080EA5">
        <w:rPr>
          <w:rStyle w:val="Emphasis"/>
          <w:color w:val="000000" w:themeColor="text1"/>
        </w:rPr>
        <w:t>Sustainability, 10</w:t>
      </w:r>
      <w:r w:rsidRPr="00080EA5">
        <w:rPr>
          <w:color w:val="000000" w:themeColor="text1"/>
        </w:rPr>
        <w:t xml:space="preserve">(4), 1187. </w:t>
      </w:r>
      <w:hyperlink r:id="rId31" w:tgtFrame="_new" w:history="1">
        <w:r w:rsidRPr="00080EA5">
          <w:rPr>
            <w:rStyle w:val="Hyperlink"/>
            <w:color w:val="000000" w:themeColor="text1"/>
          </w:rPr>
          <w:t>https://doi.org/10.3390/su10041187</w:t>
        </w:r>
      </w:hyperlink>
    </w:p>
    <w:p w14:paraId="58E16434" w14:textId="77777777" w:rsidR="00EA6802" w:rsidRPr="00080EA5" w:rsidRDefault="00EA6802" w:rsidP="00714B3B">
      <w:pPr>
        <w:pStyle w:val="NormalWeb"/>
        <w:spacing w:before="0" w:beforeAutospacing="0" w:after="0" w:afterAutospacing="0"/>
        <w:ind w:left="567" w:hanging="567"/>
        <w:jc w:val="both"/>
        <w:rPr>
          <w:color w:val="000000" w:themeColor="text1"/>
        </w:rPr>
      </w:pPr>
      <w:r w:rsidRPr="00080EA5">
        <w:rPr>
          <w:color w:val="000000" w:themeColor="text1"/>
        </w:rPr>
        <w:t xml:space="preserve">Yusof, M. F., Kamarudin, L. M., Patwary, A. K., &amp; Mohamed, A. E. (2021). Measuring revisit intention of domestic tourists in Langkawi UNESCO Global Geopark, Malaysia: A road to sustainable tourism. </w:t>
      </w:r>
      <w:r w:rsidRPr="00080EA5">
        <w:rPr>
          <w:rStyle w:val="Emphasis"/>
          <w:color w:val="000000" w:themeColor="text1"/>
        </w:rPr>
        <w:t>Journal of Environmental Management and Tourism, 12</w:t>
      </w:r>
      <w:r w:rsidRPr="00080EA5">
        <w:rPr>
          <w:color w:val="000000" w:themeColor="text1"/>
        </w:rPr>
        <w:t xml:space="preserve">(4), 1052. </w:t>
      </w:r>
      <w:hyperlink r:id="rId32" w:tgtFrame="_new" w:history="1">
        <w:r w:rsidRPr="00080EA5">
          <w:rPr>
            <w:rStyle w:val="Hyperlink"/>
            <w:color w:val="000000" w:themeColor="text1"/>
          </w:rPr>
          <w:t>https://doi.org/10.14505//jemt.v12.4(52).18</w:t>
        </w:r>
      </w:hyperlink>
    </w:p>
    <w:p w14:paraId="59CE00E5" w14:textId="77777777" w:rsidR="00EA6802" w:rsidRPr="00080EA5" w:rsidRDefault="00EA6802" w:rsidP="00714B3B">
      <w:pPr>
        <w:pStyle w:val="NormalWeb"/>
        <w:spacing w:before="0" w:beforeAutospacing="0" w:after="0" w:afterAutospacing="0"/>
        <w:ind w:left="567" w:hanging="567"/>
        <w:jc w:val="both"/>
        <w:rPr>
          <w:color w:val="000000" w:themeColor="text1"/>
        </w:rPr>
      </w:pPr>
      <w:r w:rsidRPr="006920A8">
        <w:rPr>
          <w:color w:val="000000" w:themeColor="text1"/>
          <w:lang w:val="fi-FI"/>
        </w:rPr>
        <w:t xml:space="preserve">Zakaria, N. Ai., Mat Noor, S., Rozekhi, A., Abd Rahman, R. A., Mahat, F., &amp; Bulat, S. (2022). </w:t>
      </w:r>
      <w:r w:rsidRPr="00080EA5">
        <w:rPr>
          <w:color w:val="000000" w:themeColor="text1"/>
        </w:rPr>
        <w:t xml:space="preserve">Study on customer satisfaction towards online food delivery services in Langkawi. </w:t>
      </w:r>
      <w:r w:rsidRPr="00080EA5">
        <w:rPr>
          <w:rStyle w:val="Emphasis"/>
          <w:color w:val="000000" w:themeColor="text1"/>
        </w:rPr>
        <w:t>International Journal of Social Science Research (IJSSR), 4</w:t>
      </w:r>
      <w:r w:rsidRPr="00080EA5">
        <w:rPr>
          <w:color w:val="000000" w:themeColor="text1"/>
        </w:rPr>
        <w:t xml:space="preserve">(3), 224–237. </w:t>
      </w:r>
      <w:hyperlink r:id="rId33" w:tgtFrame="_new" w:history="1">
        <w:r w:rsidRPr="00080EA5">
          <w:rPr>
            <w:rStyle w:val="Hyperlink"/>
            <w:color w:val="000000" w:themeColor="text1"/>
          </w:rPr>
          <w:t>https://myjms.mohe.gov.my/index.php/ijssr/article/view/19887</w:t>
        </w:r>
      </w:hyperlink>
    </w:p>
    <w:p w14:paraId="73F8F819" w14:textId="77777777" w:rsidR="00EA6802" w:rsidRPr="00080EA5" w:rsidRDefault="00EA6802" w:rsidP="002F6B7E">
      <w:pPr>
        <w:pStyle w:val="ColorfulList-Accent11"/>
        <w:tabs>
          <w:tab w:val="left" w:pos="1980"/>
        </w:tabs>
        <w:ind w:left="567" w:hanging="567"/>
        <w:rPr>
          <w:rFonts w:ascii="Times New Roman" w:hAnsi="Times New Roman"/>
          <w:color w:val="000000" w:themeColor="text1"/>
        </w:rPr>
      </w:pPr>
    </w:p>
    <w:sectPr w:rsidR="00EA6802" w:rsidRPr="00080EA5" w:rsidSect="002146B7">
      <w:headerReference w:type="default" r:id="rId34"/>
      <w:footerReference w:type="default" r:id="rId35"/>
      <w:headerReference w:type="first" r:id="rId36"/>
      <w:footerReference w:type="first" r:id="rId37"/>
      <w:pgSz w:w="11906" w:h="16838" w:code="9"/>
      <w:pgMar w:top="1440" w:right="1440" w:bottom="1440" w:left="1440" w:header="720" w:footer="720" w:gutter="0"/>
      <w:pgNumType w:start="1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9B57" w14:textId="77777777" w:rsidR="00E716EE" w:rsidRDefault="00E716EE" w:rsidP="00904BD9">
      <w:r>
        <w:separator/>
      </w:r>
    </w:p>
  </w:endnote>
  <w:endnote w:type="continuationSeparator" w:id="0">
    <w:p w14:paraId="05C503D9" w14:textId="77777777" w:rsidR="00E716EE" w:rsidRDefault="00E716EE" w:rsidP="0090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5032"/>
      <w:docPartObj>
        <w:docPartGallery w:val="Page Numbers (Bottom of Page)"/>
        <w:docPartUnique/>
      </w:docPartObj>
    </w:sdtPr>
    <w:sdtEndPr>
      <w:rPr>
        <w:noProof/>
      </w:rPr>
    </w:sdtEndPr>
    <w:sdtContent>
      <w:p w14:paraId="4CCEE230" w14:textId="5D648405" w:rsidR="002146B7" w:rsidRDefault="00214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184C2" w14:textId="77777777" w:rsidR="002146B7" w:rsidRDefault="00214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3DE8" w14:textId="77777777" w:rsidR="00771613" w:rsidRDefault="00771613" w:rsidP="007737E8">
    <w:pPr>
      <w:pStyle w:val="Footer"/>
      <w:rPr>
        <w:sz w:val="16"/>
        <w:szCs w:val="16"/>
      </w:rPr>
    </w:pPr>
  </w:p>
  <w:p w14:paraId="009775B8" w14:textId="3FFEB26C" w:rsidR="00771613" w:rsidRDefault="00771613" w:rsidP="007737E8">
    <w:pPr>
      <w:pStyle w:val="Footer"/>
      <w:rPr>
        <w:sz w:val="16"/>
        <w:szCs w:val="16"/>
      </w:rPr>
    </w:pPr>
    <w:r w:rsidRPr="006D58DA">
      <w:rPr>
        <w:sz w:val="16"/>
        <w:szCs w:val="16"/>
      </w:rPr>
      <w:t>E-ISSN 2</w:t>
    </w:r>
    <w:r>
      <w:rPr>
        <w:sz w:val="16"/>
        <w:szCs w:val="16"/>
      </w:rPr>
      <w:t>231-7716</w:t>
    </w:r>
  </w:p>
  <w:p w14:paraId="4D8BB9D5" w14:textId="319EE43D" w:rsidR="00771613" w:rsidRPr="006920A8" w:rsidRDefault="00771613" w:rsidP="007737E8">
    <w:pPr>
      <w:pStyle w:val="Footer"/>
      <w:rPr>
        <w:sz w:val="16"/>
        <w:szCs w:val="16"/>
        <w:lang w:val="fi-FI"/>
      </w:rPr>
    </w:pPr>
    <w:r w:rsidRPr="006920A8">
      <w:rPr>
        <w:sz w:val="16"/>
        <w:szCs w:val="16"/>
        <w:lang w:val="fi-FI"/>
      </w:rPr>
      <w:t>DOI: http://10.24191/ji.v20i1.</w:t>
    </w:r>
    <w:r w:rsidR="006920A8" w:rsidRPr="006920A8">
      <w:rPr>
        <w:sz w:val="16"/>
        <w:szCs w:val="16"/>
        <w:lang w:val="fi-FI"/>
      </w:rPr>
      <w:t>37</w:t>
    </w:r>
    <w:r w:rsidR="006920A8">
      <w:rPr>
        <w:sz w:val="16"/>
        <w:szCs w:val="16"/>
        <w:lang w:val="fi-FI"/>
      </w:rPr>
      <w:t>97</w:t>
    </w:r>
  </w:p>
  <w:p w14:paraId="0464FDBF" w14:textId="77777777" w:rsidR="00771613" w:rsidRPr="006920A8" w:rsidRDefault="00771613" w:rsidP="007737E8">
    <w:pPr>
      <w:pStyle w:val="Footer"/>
      <w:rPr>
        <w:sz w:val="16"/>
        <w:szCs w:val="16"/>
        <w:lang w:val="fi-FI"/>
      </w:rPr>
    </w:pPr>
    <w:r w:rsidRPr="006920A8">
      <w:rPr>
        <w:sz w:val="16"/>
        <w:szCs w:val="16"/>
        <w:lang w:val="fi-FI"/>
      </w:rPr>
      <w:t>Copyright © Universiti Teknologi MARA</w:t>
    </w:r>
  </w:p>
  <w:p w14:paraId="31672D67" w14:textId="77777777" w:rsidR="00771613" w:rsidRPr="006920A8" w:rsidRDefault="00771613">
    <w:pPr>
      <w:pStyle w:val="Footer"/>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E780" w14:textId="77777777" w:rsidR="00E716EE" w:rsidRDefault="00E716EE" w:rsidP="00904BD9">
      <w:r>
        <w:separator/>
      </w:r>
    </w:p>
  </w:footnote>
  <w:footnote w:type="continuationSeparator" w:id="0">
    <w:p w14:paraId="6B4E3503" w14:textId="77777777" w:rsidR="00E716EE" w:rsidRDefault="00E716EE" w:rsidP="0090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E1B1" w14:textId="77777777" w:rsidR="00906BF9" w:rsidRPr="00906BF9" w:rsidRDefault="00906BF9" w:rsidP="00906BF9">
    <w:pPr>
      <w:pStyle w:val="Header"/>
      <w:jc w:val="center"/>
      <w:rPr>
        <w:sz w:val="22"/>
        <w:szCs w:val="22"/>
      </w:rPr>
    </w:pPr>
    <w:proofErr w:type="spellStart"/>
    <w:r w:rsidRPr="00906BF9">
      <w:rPr>
        <w:sz w:val="22"/>
        <w:szCs w:val="22"/>
      </w:rPr>
      <w:t>Nur’Alia</w:t>
    </w:r>
    <w:proofErr w:type="spellEnd"/>
    <w:r w:rsidRPr="00906BF9">
      <w:rPr>
        <w:sz w:val="22"/>
        <w:szCs w:val="22"/>
      </w:rPr>
      <w:t xml:space="preserve"> Natasya Mohd </w:t>
    </w:r>
    <w:proofErr w:type="spellStart"/>
    <w:r w:rsidRPr="00906BF9">
      <w:rPr>
        <w:sz w:val="22"/>
        <w:szCs w:val="22"/>
      </w:rPr>
      <w:t>Khasmi</w:t>
    </w:r>
    <w:proofErr w:type="spellEnd"/>
    <w:r w:rsidRPr="00906BF9">
      <w:rPr>
        <w:sz w:val="22"/>
        <w:szCs w:val="22"/>
      </w:rPr>
      <w:t xml:space="preserve">, </w:t>
    </w:r>
    <w:proofErr w:type="spellStart"/>
    <w:r w:rsidRPr="00906BF9">
      <w:rPr>
        <w:sz w:val="22"/>
        <w:szCs w:val="22"/>
      </w:rPr>
      <w:t>Joesri</w:t>
    </w:r>
    <w:proofErr w:type="spellEnd"/>
    <w:r w:rsidRPr="00906BF9">
      <w:rPr>
        <w:sz w:val="22"/>
        <w:szCs w:val="22"/>
      </w:rPr>
      <w:t xml:space="preserve"> Mohamad Saber, Nur </w:t>
    </w:r>
    <w:proofErr w:type="spellStart"/>
    <w:r w:rsidRPr="00906BF9">
      <w:rPr>
        <w:sz w:val="22"/>
        <w:szCs w:val="22"/>
      </w:rPr>
      <w:t>Shafida</w:t>
    </w:r>
    <w:proofErr w:type="spellEnd"/>
    <w:r w:rsidRPr="00906BF9">
      <w:rPr>
        <w:sz w:val="22"/>
        <w:szCs w:val="22"/>
      </w:rPr>
      <w:t xml:space="preserve"> </w:t>
    </w:r>
    <w:proofErr w:type="spellStart"/>
    <w:r w:rsidRPr="00906BF9">
      <w:rPr>
        <w:sz w:val="22"/>
        <w:szCs w:val="22"/>
      </w:rPr>
      <w:t>Sharullain</w:t>
    </w:r>
    <w:proofErr w:type="spellEnd"/>
    <w:r w:rsidRPr="00906BF9">
      <w:rPr>
        <w:sz w:val="22"/>
        <w:szCs w:val="22"/>
      </w:rPr>
      <w:t xml:space="preserve">, </w:t>
    </w:r>
  </w:p>
  <w:p w14:paraId="6595B9FC" w14:textId="77777777" w:rsidR="00906BF9" w:rsidRPr="00243AF9" w:rsidRDefault="00906BF9" w:rsidP="00906BF9">
    <w:pPr>
      <w:pStyle w:val="Header"/>
      <w:jc w:val="center"/>
      <w:rPr>
        <w:rFonts w:eastAsiaTheme="minorEastAsia"/>
        <w:sz w:val="22"/>
        <w:szCs w:val="22"/>
        <w:lang w:val="sv-SE" w:eastAsia="zh-CN"/>
      </w:rPr>
    </w:pPr>
    <w:r w:rsidRPr="00243AF9">
      <w:rPr>
        <w:sz w:val="22"/>
        <w:szCs w:val="22"/>
        <w:lang w:val="sv-SE"/>
      </w:rPr>
      <w:t>Azlan Salim, Fadhlina Mahat, Mohd Zool Fadli Ibrahim</w:t>
    </w:r>
  </w:p>
  <w:p w14:paraId="0A31FE6B" w14:textId="459AFAD6" w:rsidR="00771613" w:rsidRPr="009B0C89" w:rsidRDefault="00771613" w:rsidP="00906BF9">
    <w:pPr>
      <w:pStyle w:val="Header"/>
      <w:jc w:val="center"/>
      <w:rPr>
        <w:sz w:val="22"/>
        <w:szCs w:val="22"/>
      </w:rPr>
    </w:pPr>
    <w:proofErr w:type="spellStart"/>
    <w:r w:rsidRPr="009B0C89">
      <w:rPr>
        <w:sz w:val="22"/>
        <w:szCs w:val="22"/>
      </w:rPr>
      <w:t>Jurnal</w:t>
    </w:r>
    <w:proofErr w:type="spellEnd"/>
    <w:r w:rsidRPr="009B0C89">
      <w:rPr>
        <w:sz w:val="22"/>
        <w:szCs w:val="22"/>
      </w:rPr>
      <w:t xml:space="preserve"> </w:t>
    </w:r>
    <w:proofErr w:type="spellStart"/>
    <w:r w:rsidRPr="009B0C89">
      <w:rPr>
        <w:sz w:val="22"/>
        <w:szCs w:val="22"/>
      </w:rPr>
      <w:t>Intelek</w:t>
    </w:r>
    <w:proofErr w:type="spellEnd"/>
    <w:r w:rsidRPr="009B0C89">
      <w:rPr>
        <w:sz w:val="22"/>
        <w:szCs w:val="22"/>
      </w:rPr>
      <w:t xml:space="preserve"> Vol. </w:t>
    </w:r>
    <w:r>
      <w:rPr>
        <w:sz w:val="22"/>
        <w:szCs w:val="22"/>
      </w:rPr>
      <w:t>20</w:t>
    </w:r>
    <w:r w:rsidRPr="009B0C89">
      <w:rPr>
        <w:sz w:val="22"/>
        <w:szCs w:val="22"/>
      </w:rPr>
      <w:t xml:space="preserve">, Issue </w:t>
    </w:r>
    <w:r>
      <w:rPr>
        <w:sz w:val="22"/>
        <w:szCs w:val="22"/>
      </w:rPr>
      <w:t>1</w:t>
    </w:r>
    <w:r w:rsidRPr="009B0C89">
      <w:rPr>
        <w:sz w:val="22"/>
        <w:szCs w:val="22"/>
      </w:rPr>
      <w:t xml:space="preserve"> (</w:t>
    </w:r>
    <w:r>
      <w:rPr>
        <w:sz w:val="22"/>
        <w:szCs w:val="22"/>
      </w:rPr>
      <w:t>Feb</w:t>
    </w:r>
    <w:r w:rsidRPr="009B0C89">
      <w:rPr>
        <w:sz w:val="22"/>
        <w:szCs w:val="22"/>
      </w:rPr>
      <w:t>) 202</w:t>
    </w:r>
    <w:r>
      <w:rPr>
        <w:sz w:val="22"/>
        <w:szCs w:val="22"/>
      </w:rPr>
      <w:t>5</w:t>
    </w:r>
  </w:p>
  <w:p w14:paraId="3AFA15D4" w14:textId="77777777" w:rsidR="00771613" w:rsidRPr="009B0C89" w:rsidRDefault="00771613">
    <w:pPr>
      <w:pStyle w:val="Header"/>
      <w:rPr>
        <w:sz w:val="22"/>
        <w:szCs w:val="22"/>
      </w:rPr>
    </w:pPr>
  </w:p>
  <w:p w14:paraId="27244062" w14:textId="77777777" w:rsidR="00771613" w:rsidRPr="009B0C89" w:rsidRDefault="00771613">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440F" w14:textId="400B1857" w:rsidR="00771613" w:rsidRDefault="00771613" w:rsidP="004974A2">
    <w:pPr>
      <w:pStyle w:val="Header"/>
      <w:jc w:val="center"/>
    </w:pPr>
    <w:r>
      <w:rPr>
        <w:noProof/>
        <w:lang w:val="en-MY" w:eastAsia="en-MY"/>
      </w:rPr>
      <w:drawing>
        <wp:inline distT="0" distB="0" distL="0" distR="0" wp14:anchorId="2A9497C9" wp14:editId="000E4F76">
          <wp:extent cx="2897505" cy="748030"/>
          <wp:effectExtent l="0" t="0" r="0" b="0"/>
          <wp:docPr id="3" name="Picture 4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2"/>
                  <pic:cNvPicPr>
                    <a:picLocks noChangeAspect="1" noChangeArrowheads="1"/>
                  </pic:cNvPicPr>
                </pic:nvPicPr>
                <pic:blipFill>
                  <a:blip r:embed="rId1">
                    <a:extLst>
                      <a:ext uri="{28A0092B-C50C-407E-A947-70E740481C1C}">
                        <a14:useLocalDpi xmlns:a14="http://schemas.microsoft.com/office/drawing/2010/main" val="0"/>
                      </a:ext>
                    </a:extLst>
                  </a:blip>
                  <a:srcRect t="11429" b="12381"/>
                  <a:stretch>
                    <a:fillRect/>
                  </a:stretch>
                </pic:blipFill>
                <pic:spPr bwMode="auto">
                  <a:xfrm>
                    <a:off x="0" y="0"/>
                    <a:ext cx="2897505" cy="748030"/>
                  </a:xfrm>
                  <a:prstGeom prst="rect">
                    <a:avLst/>
                  </a:prstGeom>
                  <a:noFill/>
                  <a:ln>
                    <a:noFill/>
                  </a:ln>
                </pic:spPr>
              </pic:pic>
            </a:graphicData>
          </a:graphic>
        </wp:inline>
      </w:drawing>
    </w:r>
  </w:p>
  <w:p w14:paraId="685CC44B" w14:textId="26210508" w:rsidR="00771613" w:rsidRDefault="00771613" w:rsidP="004974A2">
    <w:pPr>
      <w:pStyle w:val="Header"/>
      <w:jc w:val="center"/>
    </w:pPr>
    <w:r>
      <w:t>Volume 20 Issue 1 (February) 2025</w:t>
    </w:r>
  </w:p>
  <w:p w14:paraId="49E37113" w14:textId="77777777" w:rsidR="00771613" w:rsidRDefault="00771613" w:rsidP="004974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B1CE6"/>
    <w:multiLevelType w:val="hybridMultilevel"/>
    <w:tmpl w:val="9BD009D0"/>
    <w:lvl w:ilvl="0" w:tplc="F40AE306">
      <w:start w:val="1"/>
      <w:numFmt w:val="lowerLetter"/>
      <w:lvlText w:val="%1."/>
      <w:lvlJc w:val="left"/>
      <w:pPr>
        <w:ind w:left="328" w:hanging="221"/>
        <w:jc w:val="left"/>
      </w:pPr>
      <w:rPr>
        <w:rFonts w:ascii="Arial" w:eastAsia="Arial" w:hAnsi="Arial" w:cs="Arial" w:hint="default"/>
        <w:b w:val="0"/>
        <w:bCs w:val="0"/>
        <w:i w:val="0"/>
        <w:iCs w:val="0"/>
        <w:spacing w:val="0"/>
        <w:w w:val="99"/>
        <w:sz w:val="20"/>
        <w:szCs w:val="20"/>
        <w:lang w:val="en-US" w:eastAsia="en-US" w:bidi="ar-SA"/>
      </w:rPr>
    </w:lvl>
    <w:lvl w:ilvl="1" w:tplc="EADE013E">
      <w:numFmt w:val="bullet"/>
      <w:lvlText w:val="•"/>
      <w:lvlJc w:val="left"/>
      <w:pPr>
        <w:ind w:left="1197" w:hanging="221"/>
      </w:pPr>
      <w:rPr>
        <w:rFonts w:hint="default"/>
        <w:lang w:val="en-US" w:eastAsia="en-US" w:bidi="ar-SA"/>
      </w:rPr>
    </w:lvl>
    <w:lvl w:ilvl="2" w:tplc="2A462DDC">
      <w:numFmt w:val="bullet"/>
      <w:lvlText w:val="•"/>
      <w:lvlJc w:val="left"/>
      <w:pPr>
        <w:ind w:left="2074" w:hanging="221"/>
      </w:pPr>
      <w:rPr>
        <w:rFonts w:hint="default"/>
        <w:lang w:val="en-US" w:eastAsia="en-US" w:bidi="ar-SA"/>
      </w:rPr>
    </w:lvl>
    <w:lvl w:ilvl="3" w:tplc="DBD645F8">
      <w:numFmt w:val="bullet"/>
      <w:lvlText w:val="•"/>
      <w:lvlJc w:val="left"/>
      <w:pPr>
        <w:ind w:left="2951" w:hanging="221"/>
      </w:pPr>
      <w:rPr>
        <w:rFonts w:hint="default"/>
        <w:lang w:val="en-US" w:eastAsia="en-US" w:bidi="ar-SA"/>
      </w:rPr>
    </w:lvl>
    <w:lvl w:ilvl="4" w:tplc="D2A49DD6">
      <w:numFmt w:val="bullet"/>
      <w:lvlText w:val="•"/>
      <w:lvlJc w:val="left"/>
      <w:pPr>
        <w:ind w:left="3828" w:hanging="221"/>
      </w:pPr>
      <w:rPr>
        <w:rFonts w:hint="default"/>
        <w:lang w:val="en-US" w:eastAsia="en-US" w:bidi="ar-SA"/>
      </w:rPr>
    </w:lvl>
    <w:lvl w:ilvl="5" w:tplc="BD6A3814">
      <w:numFmt w:val="bullet"/>
      <w:lvlText w:val="•"/>
      <w:lvlJc w:val="left"/>
      <w:pPr>
        <w:ind w:left="4705" w:hanging="221"/>
      </w:pPr>
      <w:rPr>
        <w:rFonts w:hint="default"/>
        <w:lang w:val="en-US" w:eastAsia="en-US" w:bidi="ar-SA"/>
      </w:rPr>
    </w:lvl>
    <w:lvl w:ilvl="6" w:tplc="CA0A5B3E">
      <w:numFmt w:val="bullet"/>
      <w:lvlText w:val="•"/>
      <w:lvlJc w:val="left"/>
      <w:pPr>
        <w:ind w:left="5582" w:hanging="221"/>
      </w:pPr>
      <w:rPr>
        <w:rFonts w:hint="default"/>
        <w:lang w:val="en-US" w:eastAsia="en-US" w:bidi="ar-SA"/>
      </w:rPr>
    </w:lvl>
    <w:lvl w:ilvl="7" w:tplc="CA467C8E">
      <w:numFmt w:val="bullet"/>
      <w:lvlText w:val="•"/>
      <w:lvlJc w:val="left"/>
      <w:pPr>
        <w:ind w:left="6459" w:hanging="221"/>
      </w:pPr>
      <w:rPr>
        <w:rFonts w:hint="default"/>
        <w:lang w:val="en-US" w:eastAsia="en-US" w:bidi="ar-SA"/>
      </w:rPr>
    </w:lvl>
    <w:lvl w:ilvl="8" w:tplc="C3182BC8">
      <w:numFmt w:val="bullet"/>
      <w:lvlText w:val="•"/>
      <w:lvlJc w:val="left"/>
      <w:pPr>
        <w:ind w:left="7336" w:hanging="221"/>
      </w:pPr>
      <w:rPr>
        <w:rFonts w:hint="default"/>
        <w:lang w:val="en-US" w:eastAsia="en-US" w:bidi="ar-SA"/>
      </w:rPr>
    </w:lvl>
  </w:abstractNum>
  <w:abstractNum w:abstractNumId="1" w15:restartNumberingAfterBreak="0">
    <w:nsid w:val="5AEE2BE6"/>
    <w:multiLevelType w:val="hybridMultilevel"/>
    <w:tmpl w:val="4A7E34E2"/>
    <w:lvl w:ilvl="0" w:tplc="5FCEE1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875420">
    <w:abstractNumId w:val="1"/>
  </w:num>
  <w:num w:numId="2" w16cid:durableId="40345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CA" w:vendorID="64" w:dllVersion="4096" w:nlCheck="1" w:checkStyle="0"/>
  <w:activeWritingStyle w:appName="MSWord" w:lang="en-MY" w:vendorID="64" w:dllVersion="4096" w:nlCheck="1" w:checkStyle="0"/>
  <w:activeWritingStyle w:appName="MSWord" w:lang="en-MY"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B1"/>
    <w:rsid w:val="00005A97"/>
    <w:rsid w:val="000146C4"/>
    <w:rsid w:val="00014779"/>
    <w:rsid w:val="00023B2A"/>
    <w:rsid w:val="00032375"/>
    <w:rsid w:val="00040D85"/>
    <w:rsid w:val="00080EA5"/>
    <w:rsid w:val="000830A0"/>
    <w:rsid w:val="000A4B8A"/>
    <w:rsid w:val="000B16D2"/>
    <w:rsid w:val="000C6D28"/>
    <w:rsid w:val="000D233D"/>
    <w:rsid w:val="000E1595"/>
    <w:rsid w:val="000E3963"/>
    <w:rsid w:val="000E4320"/>
    <w:rsid w:val="0010795B"/>
    <w:rsid w:val="00131E4D"/>
    <w:rsid w:val="00131EE6"/>
    <w:rsid w:val="00153AC2"/>
    <w:rsid w:val="0015613B"/>
    <w:rsid w:val="00177581"/>
    <w:rsid w:val="00190018"/>
    <w:rsid w:val="001B1655"/>
    <w:rsid w:val="001D0DC0"/>
    <w:rsid w:val="001D51C8"/>
    <w:rsid w:val="001D6A79"/>
    <w:rsid w:val="001D6E22"/>
    <w:rsid w:val="001F3D8E"/>
    <w:rsid w:val="002146B7"/>
    <w:rsid w:val="00232FB1"/>
    <w:rsid w:val="00243AF9"/>
    <w:rsid w:val="002603D6"/>
    <w:rsid w:val="002651FC"/>
    <w:rsid w:val="00283E8F"/>
    <w:rsid w:val="00293281"/>
    <w:rsid w:val="002C1ACB"/>
    <w:rsid w:val="002C505E"/>
    <w:rsid w:val="002D7AD0"/>
    <w:rsid w:val="002E5F1B"/>
    <w:rsid w:val="002F6B7E"/>
    <w:rsid w:val="0030768B"/>
    <w:rsid w:val="003114C4"/>
    <w:rsid w:val="00316E95"/>
    <w:rsid w:val="003255FE"/>
    <w:rsid w:val="00327415"/>
    <w:rsid w:val="0033260B"/>
    <w:rsid w:val="0035302C"/>
    <w:rsid w:val="00361D3C"/>
    <w:rsid w:val="0039054E"/>
    <w:rsid w:val="00393192"/>
    <w:rsid w:val="00397480"/>
    <w:rsid w:val="003A4AD0"/>
    <w:rsid w:val="003B3A13"/>
    <w:rsid w:val="003C5544"/>
    <w:rsid w:val="003D709A"/>
    <w:rsid w:val="0040478B"/>
    <w:rsid w:val="00413DE0"/>
    <w:rsid w:val="00435E9C"/>
    <w:rsid w:val="0045524F"/>
    <w:rsid w:val="0045636B"/>
    <w:rsid w:val="00464FC8"/>
    <w:rsid w:val="00470FB1"/>
    <w:rsid w:val="00485EF4"/>
    <w:rsid w:val="004916F2"/>
    <w:rsid w:val="004974A2"/>
    <w:rsid w:val="004A2F9E"/>
    <w:rsid w:val="004A55A5"/>
    <w:rsid w:val="004A5F95"/>
    <w:rsid w:val="004B7192"/>
    <w:rsid w:val="004F22C9"/>
    <w:rsid w:val="0050141C"/>
    <w:rsid w:val="00504F8C"/>
    <w:rsid w:val="00517A71"/>
    <w:rsid w:val="00531D37"/>
    <w:rsid w:val="00541A03"/>
    <w:rsid w:val="005504A5"/>
    <w:rsid w:val="0057345E"/>
    <w:rsid w:val="005751F0"/>
    <w:rsid w:val="00590E20"/>
    <w:rsid w:val="005939DE"/>
    <w:rsid w:val="00594870"/>
    <w:rsid w:val="0059514E"/>
    <w:rsid w:val="005C082D"/>
    <w:rsid w:val="005D345E"/>
    <w:rsid w:val="00635882"/>
    <w:rsid w:val="0064705B"/>
    <w:rsid w:val="00670467"/>
    <w:rsid w:val="006719E7"/>
    <w:rsid w:val="00676F4C"/>
    <w:rsid w:val="006920A8"/>
    <w:rsid w:val="00695939"/>
    <w:rsid w:val="00697E54"/>
    <w:rsid w:val="006C2842"/>
    <w:rsid w:val="006C3029"/>
    <w:rsid w:val="006C4C94"/>
    <w:rsid w:val="006C73D6"/>
    <w:rsid w:val="006D3CB4"/>
    <w:rsid w:val="006D58DA"/>
    <w:rsid w:val="006E2D3A"/>
    <w:rsid w:val="006F2B47"/>
    <w:rsid w:val="0070549C"/>
    <w:rsid w:val="00705629"/>
    <w:rsid w:val="00714B3B"/>
    <w:rsid w:val="007240B3"/>
    <w:rsid w:val="007277CF"/>
    <w:rsid w:val="007324BC"/>
    <w:rsid w:val="00735566"/>
    <w:rsid w:val="00742C7B"/>
    <w:rsid w:val="007436AB"/>
    <w:rsid w:val="00757CE5"/>
    <w:rsid w:val="00763278"/>
    <w:rsid w:val="0077042E"/>
    <w:rsid w:val="00771613"/>
    <w:rsid w:val="007737E8"/>
    <w:rsid w:val="00776ECD"/>
    <w:rsid w:val="00777A96"/>
    <w:rsid w:val="0078650B"/>
    <w:rsid w:val="0079088F"/>
    <w:rsid w:val="00792FF6"/>
    <w:rsid w:val="007A4F41"/>
    <w:rsid w:val="007B4A24"/>
    <w:rsid w:val="007D2202"/>
    <w:rsid w:val="007F2CDE"/>
    <w:rsid w:val="007F5A41"/>
    <w:rsid w:val="00805C8B"/>
    <w:rsid w:val="0081612B"/>
    <w:rsid w:val="00817DC4"/>
    <w:rsid w:val="00817E53"/>
    <w:rsid w:val="00827246"/>
    <w:rsid w:val="008364EB"/>
    <w:rsid w:val="00850211"/>
    <w:rsid w:val="008523B3"/>
    <w:rsid w:val="00854DC2"/>
    <w:rsid w:val="00876CE8"/>
    <w:rsid w:val="008835FB"/>
    <w:rsid w:val="00886D0A"/>
    <w:rsid w:val="008A2D13"/>
    <w:rsid w:val="008B73AE"/>
    <w:rsid w:val="008C581F"/>
    <w:rsid w:val="008D7A14"/>
    <w:rsid w:val="008E6E72"/>
    <w:rsid w:val="008F39E6"/>
    <w:rsid w:val="00904BD9"/>
    <w:rsid w:val="00906BF9"/>
    <w:rsid w:val="009077FA"/>
    <w:rsid w:val="009171FD"/>
    <w:rsid w:val="00925AD8"/>
    <w:rsid w:val="009260D8"/>
    <w:rsid w:val="00930967"/>
    <w:rsid w:val="00937A93"/>
    <w:rsid w:val="009459D5"/>
    <w:rsid w:val="009518E8"/>
    <w:rsid w:val="00952BFA"/>
    <w:rsid w:val="00953EFF"/>
    <w:rsid w:val="009540D6"/>
    <w:rsid w:val="00977639"/>
    <w:rsid w:val="009954FC"/>
    <w:rsid w:val="009A1179"/>
    <w:rsid w:val="009A38B9"/>
    <w:rsid w:val="009B0C89"/>
    <w:rsid w:val="009B4DEF"/>
    <w:rsid w:val="009D3B47"/>
    <w:rsid w:val="009D7651"/>
    <w:rsid w:val="009E43F4"/>
    <w:rsid w:val="009F0255"/>
    <w:rsid w:val="009F7513"/>
    <w:rsid w:val="00A00EE8"/>
    <w:rsid w:val="00A020C2"/>
    <w:rsid w:val="00A075C4"/>
    <w:rsid w:val="00A07D6D"/>
    <w:rsid w:val="00A15209"/>
    <w:rsid w:val="00A321BE"/>
    <w:rsid w:val="00A466F5"/>
    <w:rsid w:val="00A66215"/>
    <w:rsid w:val="00A71A2B"/>
    <w:rsid w:val="00A8480A"/>
    <w:rsid w:val="00A86195"/>
    <w:rsid w:val="00AB09D9"/>
    <w:rsid w:val="00AB473F"/>
    <w:rsid w:val="00AE1C06"/>
    <w:rsid w:val="00AF128F"/>
    <w:rsid w:val="00AF630A"/>
    <w:rsid w:val="00B02B91"/>
    <w:rsid w:val="00B14CC2"/>
    <w:rsid w:val="00B2633B"/>
    <w:rsid w:val="00B37350"/>
    <w:rsid w:val="00B428D6"/>
    <w:rsid w:val="00B42CAB"/>
    <w:rsid w:val="00B5667F"/>
    <w:rsid w:val="00B67EFC"/>
    <w:rsid w:val="00B74A56"/>
    <w:rsid w:val="00B8450C"/>
    <w:rsid w:val="00B84F87"/>
    <w:rsid w:val="00B92D04"/>
    <w:rsid w:val="00B958D7"/>
    <w:rsid w:val="00B97452"/>
    <w:rsid w:val="00B97F2F"/>
    <w:rsid w:val="00BB4EE2"/>
    <w:rsid w:val="00BC3D4C"/>
    <w:rsid w:val="00BD18F0"/>
    <w:rsid w:val="00BD22C0"/>
    <w:rsid w:val="00BF01F2"/>
    <w:rsid w:val="00C103D0"/>
    <w:rsid w:val="00C37DEA"/>
    <w:rsid w:val="00C512E7"/>
    <w:rsid w:val="00C54E09"/>
    <w:rsid w:val="00C7414E"/>
    <w:rsid w:val="00CA13A7"/>
    <w:rsid w:val="00CA4626"/>
    <w:rsid w:val="00CA5023"/>
    <w:rsid w:val="00CA76CB"/>
    <w:rsid w:val="00CB00DE"/>
    <w:rsid w:val="00CB2456"/>
    <w:rsid w:val="00CB591F"/>
    <w:rsid w:val="00CC2E71"/>
    <w:rsid w:val="00CC353E"/>
    <w:rsid w:val="00CC49AA"/>
    <w:rsid w:val="00CD26CB"/>
    <w:rsid w:val="00CE25B1"/>
    <w:rsid w:val="00CF289B"/>
    <w:rsid w:val="00CF61CF"/>
    <w:rsid w:val="00D003A5"/>
    <w:rsid w:val="00D00B21"/>
    <w:rsid w:val="00D01B9B"/>
    <w:rsid w:val="00D04344"/>
    <w:rsid w:val="00D21117"/>
    <w:rsid w:val="00D310D4"/>
    <w:rsid w:val="00D37C32"/>
    <w:rsid w:val="00D428DF"/>
    <w:rsid w:val="00D64485"/>
    <w:rsid w:val="00D66F4F"/>
    <w:rsid w:val="00D737C9"/>
    <w:rsid w:val="00DA1C98"/>
    <w:rsid w:val="00DA420D"/>
    <w:rsid w:val="00DA6609"/>
    <w:rsid w:val="00DB23D5"/>
    <w:rsid w:val="00DB260D"/>
    <w:rsid w:val="00DB6EA9"/>
    <w:rsid w:val="00DE0F71"/>
    <w:rsid w:val="00E02EC8"/>
    <w:rsid w:val="00E15149"/>
    <w:rsid w:val="00E15F2A"/>
    <w:rsid w:val="00E1656E"/>
    <w:rsid w:val="00E3193E"/>
    <w:rsid w:val="00E60E2D"/>
    <w:rsid w:val="00E61AF0"/>
    <w:rsid w:val="00E634E3"/>
    <w:rsid w:val="00E63548"/>
    <w:rsid w:val="00E63850"/>
    <w:rsid w:val="00E716EE"/>
    <w:rsid w:val="00E717CF"/>
    <w:rsid w:val="00E80C0C"/>
    <w:rsid w:val="00E83F90"/>
    <w:rsid w:val="00E87C31"/>
    <w:rsid w:val="00E94051"/>
    <w:rsid w:val="00EA287C"/>
    <w:rsid w:val="00EA6802"/>
    <w:rsid w:val="00EA7D28"/>
    <w:rsid w:val="00EB209E"/>
    <w:rsid w:val="00EB32E9"/>
    <w:rsid w:val="00EB35A3"/>
    <w:rsid w:val="00ED6C83"/>
    <w:rsid w:val="00EE7659"/>
    <w:rsid w:val="00F415DC"/>
    <w:rsid w:val="00F447FA"/>
    <w:rsid w:val="00F51C41"/>
    <w:rsid w:val="00F5594E"/>
    <w:rsid w:val="00F832A2"/>
    <w:rsid w:val="00F947DF"/>
    <w:rsid w:val="00FA203C"/>
    <w:rsid w:val="00FB1E08"/>
    <w:rsid w:val="00FC7A15"/>
    <w:rsid w:val="00FD5A16"/>
    <w:rsid w:val="00FE010B"/>
    <w:rsid w:val="00FE0A1B"/>
    <w:rsid w:val="00FE44B9"/>
    <w:rsid w:val="00FE7549"/>
    <w:rsid w:val="00FF3D83"/>
    <w:rsid w:val="00FF4ADA"/>
    <w:rsid w:val="00FF76DB"/>
    <w:rsid w:val="4893E8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3BA9"/>
  <w15:docId w15:val="{4C39ECBE-F1DE-41B8-987C-89952DCF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50C"/>
    <w:pPr>
      <w:spacing w:after="0" w:line="240" w:lineRule="auto"/>
    </w:pPr>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EE7659"/>
    <w:pPr>
      <w:keepNext/>
      <w:keepLines/>
      <w:spacing w:before="240" w:after="240"/>
      <w:outlineLvl w:val="0"/>
    </w:pPr>
    <w:rPr>
      <w:rFonts w:ascii="Arial" w:eastAsiaTheme="majorEastAsia" w:hAnsi="Arial" w:cstheme="majorBidi"/>
      <w:b/>
      <w:bCs/>
      <w:color w:val="000000" w:themeColor="text1"/>
      <w:sz w:val="24"/>
      <w:szCs w:val="28"/>
    </w:rPr>
  </w:style>
  <w:style w:type="paragraph" w:styleId="Heading2">
    <w:name w:val="heading 2"/>
    <w:basedOn w:val="Normal"/>
    <w:next w:val="Normal"/>
    <w:link w:val="Heading2Char"/>
    <w:qFormat/>
    <w:rsid w:val="00EE7659"/>
    <w:pPr>
      <w:keepNext/>
      <w:spacing w:before="240" w:after="240"/>
      <w:outlineLvl w:val="1"/>
    </w:pPr>
    <w:rPr>
      <w:rFonts w:ascii="Arial" w:hAnsi="Arial"/>
      <w:b/>
      <w:kern w:val="28"/>
    </w:rPr>
  </w:style>
  <w:style w:type="paragraph" w:styleId="Heading3">
    <w:name w:val="heading 3"/>
    <w:basedOn w:val="Normal"/>
    <w:next w:val="Normal"/>
    <w:link w:val="Heading3Char"/>
    <w:uiPriority w:val="9"/>
    <w:unhideWhenUsed/>
    <w:qFormat/>
    <w:rsid w:val="00EE7659"/>
    <w:pPr>
      <w:keepNext/>
      <w:keepLines/>
      <w:spacing w:before="240"/>
      <w:outlineLvl w:val="2"/>
    </w:pPr>
    <w:rPr>
      <w:rFonts w:ascii="Arial" w:eastAsiaTheme="majorEastAsia" w:hAnsi="Arial" w:cstheme="majorBidi"/>
      <w:b/>
      <w:bCs/>
      <w:color w:val="000000" w:themeColor="text1"/>
    </w:rPr>
  </w:style>
  <w:style w:type="paragraph" w:styleId="Heading5">
    <w:name w:val="heading 5"/>
    <w:basedOn w:val="Normal"/>
    <w:next w:val="Normal"/>
    <w:link w:val="Heading5Char"/>
    <w:rsid w:val="00CE25B1"/>
    <w:pPr>
      <w:spacing w:before="240" w:after="60"/>
      <w:outlineLvl w:val="4"/>
    </w:pPr>
    <w:rPr>
      <w:b/>
      <w:snapToGrid w:val="0"/>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7659"/>
    <w:rPr>
      <w:rFonts w:ascii="Arial" w:eastAsia="Times New Roman" w:hAnsi="Arial" w:cs="Times New Roman"/>
      <w:b/>
      <w:kern w:val="28"/>
    </w:rPr>
  </w:style>
  <w:style w:type="character" w:customStyle="1" w:styleId="Heading5Char">
    <w:name w:val="Heading 5 Char"/>
    <w:basedOn w:val="DefaultParagraphFont"/>
    <w:link w:val="Heading5"/>
    <w:rsid w:val="00CE25B1"/>
    <w:rPr>
      <w:rFonts w:ascii="Garamond" w:eastAsia="Times New Roman" w:hAnsi="Garamond" w:cs="Times New Roman"/>
      <w:b/>
      <w:snapToGrid w:val="0"/>
      <w:kern w:val="22"/>
    </w:rPr>
  </w:style>
  <w:style w:type="paragraph" w:customStyle="1" w:styleId="Dates">
    <w:name w:val="Date(s)"/>
    <w:basedOn w:val="Normal"/>
    <w:qFormat/>
    <w:rsid w:val="00EA7D28"/>
    <w:pPr>
      <w:jc w:val="center"/>
    </w:pPr>
  </w:style>
  <w:style w:type="paragraph" w:styleId="ListParagraph">
    <w:name w:val="List Paragraph"/>
    <w:basedOn w:val="Normal"/>
    <w:uiPriority w:val="34"/>
    <w:qFormat/>
    <w:rsid w:val="00CE25B1"/>
    <w:pPr>
      <w:spacing w:after="200" w:line="276" w:lineRule="auto"/>
      <w:ind w:left="720"/>
      <w:contextualSpacing/>
    </w:pPr>
    <w:rPr>
      <w:rFonts w:ascii="Calibri" w:eastAsia="Calibri" w:hAnsi="Calibri"/>
    </w:rPr>
  </w:style>
  <w:style w:type="paragraph" w:customStyle="1" w:styleId="Abstracttitle">
    <w:name w:val="Abstract (title)"/>
    <w:basedOn w:val="Normal"/>
    <w:qFormat/>
    <w:rsid w:val="00EA7D28"/>
    <w:pPr>
      <w:keepNext/>
      <w:spacing w:before="120" w:after="120"/>
      <w:jc w:val="center"/>
      <w:outlineLvl w:val="3"/>
    </w:pPr>
    <w:rPr>
      <w:b/>
    </w:rPr>
  </w:style>
  <w:style w:type="paragraph" w:customStyle="1" w:styleId="papertitle">
    <w:name w:val="paper title"/>
    <w:rsid w:val="008C581F"/>
    <w:pPr>
      <w:spacing w:after="0" w:line="240" w:lineRule="auto"/>
      <w:jc w:val="center"/>
    </w:pPr>
    <w:rPr>
      <w:rFonts w:ascii="Arial" w:eastAsia="MS Mincho" w:hAnsi="Arial" w:cs="Times New Roman"/>
      <w:b/>
      <w:noProof/>
      <w:sz w:val="28"/>
      <w:szCs w:val="48"/>
    </w:rPr>
  </w:style>
  <w:style w:type="paragraph" w:customStyle="1" w:styleId="Abstract">
    <w:name w:val="Abstract"/>
    <w:rsid w:val="008C581F"/>
    <w:pPr>
      <w:spacing w:after="0" w:line="240" w:lineRule="auto"/>
      <w:jc w:val="both"/>
    </w:pPr>
    <w:rPr>
      <w:rFonts w:ascii="Times New Roman" w:eastAsia="SimSun" w:hAnsi="Times New Roman" w:cs="Times New Roman"/>
      <w:bCs/>
      <w:i/>
      <w:szCs w:val="18"/>
    </w:rPr>
  </w:style>
  <w:style w:type="paragraph" w:styleId="BalloonText">
    <w:name w:val="Balloon Text"/>
    <w:basedOn w:val="Normal"/>
    <w:link w:val="BalloonTextChar"/>
    <w:uiPriority w:val="99"/>
    <w:semiHidden/>
    <w:unhideWhenUsed/>
    <w:rsid w:val="00CE25B1"/>
    <w:rPr>
      <w:rFonts w:ascii="Tahoma" w:hAnsi="Tahoma" w:cs="Tahoma"/>
      <w:sz w:val="16"/>
      <w:szCs w:val="16"/>
    </w:rPr>
  </w:style>
  <w:style w:type="character" w:customStyle="1" w:styleId="BalloonTextChar">
    <w:name w:val="Balloon Text Char"/>
    <w:basedOn w:val="DefaultParagraphFont"/>
    <w:link w:val="BalloonText"/>
    <w:uiPriority w:val="99"/>
    <w:semiHidden/>
    <w:rsid w:val="00CE25B1"/>
    <w:rPr>
      <w:rFonts w:ascii="Tahoma" w:eastAsia="Times New Roman" w:hAnsi="Tahoma" w:cs="Tahoma"/>
      <w:sz w:val="16"/>
      <w:szCs w:val="16"/>
    </w:rPr>
  </w:style>
  <w:style w:type="paragraph" w:customStyle="1" w:styleId="Default">
    <w:name w:val="Default"/>
    <w:rsid w:val="00F5594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table" w:styleId="TableGrid">
    <w:name w:val="Table Grid"/>
    <w:basedOn w:val="TableNormal"/>
    <w:uiPriority w:val="59"/>
    <w:rsid w:val="00EB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7659"/>
    <w:rPr>
      <w:rFonts w:ascii="Arial" w:eastAsiaTheme="majorEastAsia" w:hAnsi="Arial" w:cstheme="majorBidi"/>
      <w:b/>
      <w:bCs/>
      <w:color w:val="000000" w:themeColor="text1"/>
      <w:sz w:val="24"/>
      <w:szCs w:val="28"/>
    </w:rPr>
  </w:style>
  <w:style w:type="character" w:customStyle="1" w:styleId="Heading3Char">
    <w:name w:val="Heading 3 Char"/>
    <w:basedOn w:val="DefaultParagraphFont"/>
    <w:link w:val="Heading3"/>
    <w:uiPriority w:val="9"/>
    <w:rsid w:val="00EE7659"/>
    <w:rPr>
      <w:rFonts w:ascii="Arial" w:eastAsiaTheme="majorEastAsia" w:hAnsi="Arial" w:cstheme="majorBidi"/>
      <w:b/>
      <w:bCs/>
      <w:color w:val="000000" w:themeColor="text1"/>
    </w:rPr>
  </w:style>
  <w:style w:type="paragraph" w:customStyle="1" w:styleId="Figure">
    <w:name w:val="Figure"/>
    <w:basedOn w:val="Normal"/>
    <w:qFormat/>
    <w:rsid w:val="00EE7659"/>
    <w:pPr>
      <w:spacing w:after="120"/>
      <w:jc w:val="center"/>
    </w:pPr>
    <w:rPr>
      <w:rFonts w:ascii="Arial" w:hAnsi="Arial"/>
      <w:b/>
      <w:sz w:val="18"/>
    </w:rPr>
  </w:style>
  <w:style w:type="paragraph" w:customStyle="1" w:styleId="Table">
    <w:name w:val="Table"/>
    <w:basedOn w:val="Figure"/>
    <w:qFormat/>
    <w:rsid w:val="00EE7659"/>
    <w:pPr>
      <w:spacing w:after="0"/>
    </w:pPr>
  </w:style>
  <w:style w:type="paragraph" w:customStyle="1" w:styleId="AuthorName">
    <w:name w:val="Author Name"/>
    <w:basedOn w:val="Normal"/>
    <w:qFormat/>
    <w:rsid w:val="00EA7D28"/>
    <w:pPr>
      <w:jc w:val="center"/>
    </w:pPr>
    <w:rPr>
      <w:b/>
      <w:color w:val="000000"/>
      <w:lang w:val="en-CA" w:eastAsia="en-MY"/>
    </w:rPr>
  </w:style>
  <w:style w:type="paragraph" w:customStyle="1" w:styleId="Adress">
    <w:name w:val="Adress"/>
    <w:basedOn w:val="Normal"/>
    <w:qFormat/>
    <w:rsid w:val="00EA7D28"/>
    <w:pPr>
      <w:jc w:val="center"/>
    </w:pPr>
    <w:rPr>
      <w:i/>
      <w:color w:val="000000"/>
      <w:lang w:val="en-CA" w:eastAsia="en-MY"/>
    </w:rPr>
  </w:style>
  <w:style w:type="paragraph" w:customStyle="1" w:styleId="Email">
    <w:name w:val="Email"/>
    <w:basedOn w:val="Normal"/>
    <w:qFormat/>
    <w:rsid w:val="00EA7D28"/>
    <w:pPr>
      <w:jc w:val="center"/>
    </w:pPr>
    <w:rPr>
      <w:i/>
      <w:lang w:val="en-CA"/>
    </w:rPr>
  </w:style>
  <w:style w:type="paragraph" w:styleId="Header">
    <w:name w:val="header"/>
    <w:basedOn w:val="Normal"/>
    <w:link w:val="HeaderChar"/>
    <w:uiPriority w:val="99"/>
    <w:rsid w:val="00904BD9"/>
    <w:pPr>
      <w:tabs>
        <w:tab w:val="center" w:pos="4320"/>
        <w:tab w:val="right" w:pos="8640"/>
      </w:tabs>
    </w:pPr>
    <w:rPr>
      <w:sz w:val="24"/>
      <w:szCs w:val="24"/>
    </w:rPr>
  </w:style>
  <w:style w:type="character" w:customStyle="1" w:styleId="HeaderChar">
    <w:name w:val="Header Char"/>
    <w:basedOn w:val="DefaultParagraphFont"/>
    <w:link w:val="Header"/>
    <w:uiPriority w:val="99"/>
    <w:rsid w:val="00904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4BD9"/>
    <w:pPr>
      <w:tabs>
        <w:tab w:val="center" w:pos="4513"/>
        <w:tab w:val="right" w:pos="9026"/>
      </w:tabs>
    </w:pPr>
  </w:style>
  <w:style w:type="character" w:customStyle="1" w:styleId="FooterChar">
    <w:name w:val="Footer Char"/>
    <w:basedOn w:val="DefaultParagraphFont"/>
    <w:link w:val="Footer"/>
    <w:uiPriority w:val="99"/>
    <w:rsid w:val="00904BD9"/>
    <w:rPr>
      <w:rFonts w:ascii="Times New Roman" w:eastAsia="Times New Roman" w:hAnsi="Times New Roman" w:cs="Times New Roman"/>
    </w:rPr>
  </w:style>
  <w:style w:type="paragraph" w:styleId="BodyTextIndent">
    <w:name w:val="Body Text Indent"/>
    <w:basedOn w:val="Normal"/>
    <w:link w:val="BodyTextIndentChar"/>
    <w:rsid w:val="004974A2"/>
    <w:pPr>
      <w:tabs>
        <w:tab w:val="left" w:pos="720"/>
      </w:tabs>
      <w:spacing w:line="480" w:lineRule="auto"/>
      <w:ind w:left="720" w:hanging="720"/>
      <w:jc w:val="both"/>
    </w:pPr>
    <w:rPr>
      <w:color w:val="000000"/>
      <w:sz w:val="24"/>
      <w:szCs w:val="24"/>
    </w:rPr>
  </w:style>
  <w:style w:type="character" w:customStyle="1" w:styleId="BodyTextIndentChar">
    <w:name w:val="Body Text Indent Char"/>
    <w:basedOn w:val="DefaultParagraphFont"/>
    <w:link w:val="BodyTextIndent"/>
    <w:rsid w:val="004974A2"/>
    <w:rPr>
      <w:rFonts w:ascii="Times New Roman" w:eastAsia="Times New Roman" w:hAnsi="Times New Roman" w:cs="Times New Roman"/>
      <w:color w:val="000000"/>
      <w:sz w:val="24"/>
      <w:szCs w:val="24"/>
    </w:rPr>
  </w:style>
  <w:style w:type="paragraph" w:customStyle="1" w:styleId="reference">
    <w:name w:val="reference"/>
    <w:basedOn w:val="Normal"/>
    <w:rsid w:val="004974A2"/>
    <w:pPr>
      <w:tabs>
        <w:tab w:val="left" w:pos="340"/>
      </w:tabs>
      <w:overflowPunct w:val="0"/>
      <w:autoSpaceDE w:val="0"/>
      <w:autoSpaceDN w:val="0"/>
      <w:adjustRightInd w:val="0"/>
      <w:spacing w:line="200" w:lineRule="atLeast"/>
      <w:ind w:left="238" w:hanging="238"/>
      <w:jc w:val="both"/>
      <w:textAlignment w:val="baseline"/>
    </w:pPr>
    <w:rPr>
      <w:rFonts w:eastAsia="SimSun"/>
      <w:sz w:val="18"/>
      <w:szCs w:val="20"/>
      <w:lang w:eastAsia="de-DE"/>
    </w:rPr>
  </w:style>
  <w:style w:type="paragraph" w:customStyle="1" w:styleId="ColorfulList-Accent11">
    <w:name w:val="Colorful List - Accent 11"/>
    <w:basedOn w:val="Normal"/>
    <w:qFormat/>
    <w:rsid w:val="004974A2"/>
    <w:pPr>
      <w:ind w:left="720"/>
    </w:pPr>
    <w:rPr>
      <w:rFonts w:ascii="Arial" w:eastAsia="Batang" w:hAnsi="Arial"/>
      <w:szCs w:val="24"/>
      <w:lang w:eastAsia="ko-KR"/>
    </w:rPr>
  </w:style>
  <w:style w:type="character" w:styleId="Hyperlink">
    <w:name w:val="Hyperlink"/>
    <w:basedOn w:val="DefaultParagraphFont"/>
    <w:uiPriority w:val="99"/>
    <w:unhideWhenUsed/>
    <w:rsid w:val="00C37DEA"/>
    <w:rPr>
      <w:color w:val="0000FF" w:themeColor="hyperlink"/>
      <w:u w:val="single"/>
    </w:rPr>
  </w:style>
  <w:style w:type="character" w:customStyle="1" w:styleId="UnresolvedMention1">
    <w:name w:val="Unresolved Mention1"/>
    <w:basedOn w:val="DefaultParagraphFont"/>
    <w:uiPriority w:val="99"/>
    <w:semiHidden/>
    <w:unhideWhenUsed/>
    <w:rsid w:val="00C37DEA"/>
    <w:rPr>
      <w:color w:val="605E5C"/>
      <w:shd w:val="clear" w:color="auto" w:fill="E1DFDD"/>
    </w:rPr>
  </w:style>
  <w:style w:type="character" w:styleId="Emphasis">
    <w:name w:val="Emphasis"/>
    <w:basedOn w:val="DefaultParagraphFont"/>
    <w:uiPriority w:val="20"/>
    <w:qFormat/>
    <w:rsid w:val="00393192"/>
    <w:rPr>
      <w:i/>
      <w:iCs/>
    </w:rPr>
  </w:style>
  <w:style w:type="paragraph" w:customStyle="1" w:styleId="TableParagraph">
    <w:name w:val="Table Paragraph"/>
    <w:basedOn w:val="Normal"/>
    <w:uiPriority w:val="1"/>
    <w:qFormat/>
    <w:rsid w:val="004916F2"/>
    <w:pPr>
      <w:widowControl w:val="0"/>
      <w:autoSpaceDE w:val="0"/>
      <w:autoSpaceDN w:val="0"/>
    </w:pPr>
    <w:rPr>
      <w:rFonts w:ascii="Arial" w:eastAsia="Arial" w:hAnsi="Arial" w:cs="Arial"/>
      <w:lang w:val="en-US"/>
    </w:rPr>
  </w:style>
  <w:style w:type="paragraph" w:styleId="BodyText">
    <w:name w:val="Body Text"/>
    <w:basedOn w:val="Normal"/>
    <w:link w:val="BodyTextChar"/>
    <w:unhideWhenUsed/>
    <w:rsid w:val="00D37C32"/>
    <w:pPr>
      <w:spacing w:after="120"/>
    </w:pPr>
  </w:style>
  <w:style w:type="character" w:customStyle="1" w:styleId="BodyTextChar">
    <w:name w:val="Body Text Char"/>
    <w:basedOn w:val="DefaultParagraphFont"/>
    <w:link w:val="BodyText"/>
    <w:rsid w:val="00D37C32"/>
    <w:rPr>
      <w:rFonts w:ascii="Times New Roman" w:eastAsia="Times New Roman" w:hAnsi="Times New Roman" w:cs="Times New Roman"/>
      <w:lang w:val="en-GB"/>
    </w:rPr>
  </w:style>
  <w:style w:type="character" w:styleId="UnresolvedMention">
    <w:name w:val="Unresolved Mention"/>
    <w:basedOn w:val="DefaultParagraphFont"/>
    <w:uiPriority w:val="99"/>
    <w:semiHidden/>
    <w:unhideWhenUsed/>
    <w:rsid w:val="00023B2A"/>
    <w:rPr>
      <w:color w:val="605E5C"/>
      <w:shd w:val="clear" w:color="auto" w:fill="E1DFDD"/>
    </w:rPr>
  </w:style>
  <w:style w:type="paragraph" w:styleId="NormalWeb">
    <w:name w:val="Normal (Web)"/>
    <w:basedOn w:val="Normal"/>
    <w:uiPriority w:val="99"/>
    <w:unhideWhenUsed/>
    <w:rsid w:val="00EA6802"/>
    <w:pPr>
      <w:spacing w:before="100" w:beforeAutospacing="1" w:after="100" w:afterAutospacing="1"/>
    </w:pPr>
    <w:rPr>
      <w:sz w:val="24"/>
      <w:szCs w:val="24"/>
      <w:lang w:val="en-MY" w:eastAsia="en-MY"/>
    </w:rPr>
  </w:style>
  <w:style w:type="character" w:styleId="CommentReference">
    <w:name w:val="annotation reference"/>
    <w:basedOn w:val="DefaultParagraphFont"/>
    <w:uiPriority w:val="99"/>
    <w:semiHidden/>
    <w:unhideWhenUsed/>
    <w:rsid w:val="00153AC2"/>
    <w:rPr>
      <w:sz w:val="16"/>
      <w:szCs w:val="16"/>
    </w:rPr>
  </w:style>
  <w:style w:type="paragraph" w:styleId="CommentText">
    <w:name w:val="annotation text"/>
    <w:basedOn w:val="Normal"/>
    <w:link w:val="CommentTextChar"/>
    <w:uiPriority w:val="99"/>
    <w:unhideWhenUsed/>
    <w:rsid w:val="00153AC2"/>
    <w:rPr>
      <w:sz w:val="20"/>
      <w:szCs w:val="20"/>
    </w:rPr>
  </w:style>
  <w:style w:type="character" w:customStyle="1" w:styleId="CommentTextChar">
    <w:name w:val="Comment Text Char"/>
    <w:basedOn w:val="DefaultParagraphFont"/>
    <w:link w:val="CommentText"/>
    <w:uiPriority w:val="99"/>
    <w:rsid w:val="00153AC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53AC2"/>
    <w:rPr>
      <w:b/>
      <w:bCs/>
    </w:rPr>
  </w:style>
  <w:style w:type="character" w:customStyle="1" w:styleId="CommentSubjectChar">
    <w:name w:val="Comment Subject Char"/>
    <w:basedOn w:val="CommentTextChar"/>
    <w:link w:val="CommentSubject"/>
    <w:uiPriority w:val="99"/>
    <w:semiHidden/>
    <w:rsid w:val="00153AC2"/>
    <w:rPr>
      <w:rFonts w:ascii="Times New Roman" w:eastAsia="Times New Roman" w:hAnsi="Times New Roman" w:cs="Times New Roman"/>
      <w:b/>
      <w:bCs/>
      <w:sz w:val="20"/>
      <w:szCs w:val="20"/>
      <w:lang w:val="en-GB"/>
    </w:rPr>
  </w:style>
  <w:style w:type="paragraph" w:styleId="Revision">
    <w:name w:val="Revision"/>
    <w:hidden/>
    <w:uiPriority w:val="99"/>
    <w:semiHidden/>
    <w:rsid w:val="0010795B"/>
    <w:pPr>
      <w:spacing w:after="0" w:line="240" w:lineRule="auto"/>
    </w:pPr>
    <w:rPr>
      <w:rFonts w:ascii="Times New Roman" w:eastAsia="Times New Roman" w:hAnsi="Times New Roman" w:cs="Times New Roman"/>
      <w:lang w:val="en-GB"/>
    </w:rPr>
  </w:style>
  <w:style w:type="paragraph" w:styleId="NoSpacing">
    <w:name w:val="No Spacing"/>
    <w:uiPriority w:val="1"/>
    <w:qFormat/>
    <w:rsid w:val="004A2F9E"/>
    <w:pPr>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51575">
      <w:bodyDiv w:val="1"/>
      <w:marLeft w:val="0"/>
      <w:marRight w:val="0"/>
      <w:marTop w:val="0"/>
      <w:marBottom w:val="0"/>
      <w:divBdr>
        <w:top w:val="none" w:sz="0" w:space="0" w:color="auto"/>
        <w:left w:val="none" w:sz="0" w:space="0" w:color="auto"/>
        <w:bottom w:val="none" w:sz="0" w:space="0" w:color="auto"/>
        <w:right w:val="none" w:sz="0" w:space="0" w:color="auto"/>
      </w:divBdr>
    </w:div>
    <w:div w:id="927032682">
      <w:bodyDiv w:val="1"/>
      <w:marLeft w:val="0"/>
      <w:marRight w:val="0"/>
      <w:marTop w:val="0"/>
      <w:marBottom w:val="0"/>
      <w:divBdr>
        <w:top w:val="none" w:sz="0" w:space="0" w:color="auto"/>
        <w:left w:val="none" w:sz="0" w:space="0" w:color="auto"/>
        <w:bottom w:val="none" w:sz="0" w:space="0" w:color="auto"/>
        <w:right w:val="none" w:sz="0" w:space="0" w:color="auto"/>
      </w:divBdr>
    </w:div>
    <w:div w:id="13350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057/ijbtm.2023.5.s1.29" TargetMode="External"/><Relationship Id="rId18" Type="http://schemas.openxmlformats.org/officeDocument/2006/relationships/hyperlink" Target="https://doi.org/10.5539/ass.v17n10p1" TargetMode="External"/><Relationship Id="rId26" Type="http://schemas.openxmlformats.org/officeDocument/2006/relationships/hyperlink" Target="https://doi.org/10.1080/15378020.2016.1276319" TargetMode="External"/><Relationship Id="rId39" Type="http://schemas.openxmlformats.org/officeDocument/2006/relationships/theme" Target="theme/theme1.xml"/><Relationship Id="rId21" Type="http://schemas.openxmlformats.org/officeDocument/2006/relationships/hyperlink" Target="https://doi.org/10.1016/j.foodqual.2020.10410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onelyplanet.com/articles/how-to-eat-like-a-local-in-langkawi" TargetMode="External"/><Relationship Id="rId17" Type="http://schemas.openxmlformats.org/officeDocument/2006/relationships/hyperlink" Target="https://doi.org/10.1080/19368623.2021.1897053" TargetMode="External"/><Relationship Id="rId25" Type="http://schemas.openxmlformats.org/officeDocument/2006/relationships/hyperlink" Target="https://doi.org/10.21463/jmic.2019.08.2.06" TargetMode="External"/><Relationship Id="rId33" Type="http://schemas.openxmlformats.org/officeDocument/2006/relationships/hyperlink" Target="https://myjms.mohe.gov.my/index.php/ijssr/article/view/1988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ijerph20032244" TargetMode="External"/><Relationship Id="rId20" Type="http://schemas.openxmlformats.org/officeDocument/2006/relationships/hyperlink" Target="https://doi.org/10.1177/1938965515619229" TargetMode="External"/><Relationship Id="rId29" Type="http://schemas.openxmlformats.org/officeDocument/2006/relationships/hyperlink" Target="https://doi.org/10.21608/ijthm.2021.206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642-69746-3_2" TargetMode="External"/><Relationship Id="rId24" Type="http://schemas.openxmlformats.org/officeDocument/2006/relationships/hyperlink" Target="https://doi.org/10.1016/j.ijhm.2020.102727" TargetMode="External"/><Relationship Id="rId32" Type="http://schemas.openxmlformats.org/officeDocument/2006/relationships/hyperlink" Target="https://doi.org/10.14505/jemt.v12.4(52).18"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08/cbth-06-2022-0126" TargetMode="External"/><Relationship Id="rId23" Type="http://schemas.openxmlformats.org/officeDocument/2006/relationships/hyperlink" Target="https://doi.org/10.32890/mmj.7.2.2003.8609" TargetMode="External"/><Relationship Id="rId28" Type="http://schemas.openxmlformats.org/officeDocument/2006/relationships/hyperlink" Target="https://doi.org/10.3390/su151612549" TargetMode="External"/><Relationship Id="rId36" Type="http://schemas.openxmlformats.org/officeDocument/2006/relationships/header" Target="header2.xml"/><Relationship Id="rId10" Type="http://schemas.openxmlformats.org/officeDocument/2006/relationships/hyperlink" Target="https://doi.org/10.32890/jbma2023.13.1.3" TargetMode="External"/><Relationship Id="rId19" Type="http://schemas.openxmlformats.org/officeDocument/2006/relationships/hyperlink" Target="https://doi.org/10.6007/IJARBSS/v12-i13/14146" TargetMode="External"/><Relationship Id="rId31" Type="http://schemas.openxmlformats.org/officeDocument/2006/relationships/hyperlink" Target="https://doi.org/10.3390/su10041187" TargetMode="External"/><Relationship Id="rId4" Type="http://schemas.openxmlformats.org/officeDocument/2006/relationships/settings" Target="settings.xml"/><Relationship Id="rId9" Type="http://schemas.openxmlformats.org/officeDocument/2006/relationships/hyperlink" Target="https://doi.org/10.36713/epra8950" TargetMode="External"/><Relationship Id="rId14" Type="http://schemas.openxmlformats.org/officeDocument/2006/relationships/hyperlink" Target="https://doi.org/10.6007/ijarbss/v13-i5/17013" TargetMode="External"/><Relationship Id="rId22" Type="http://schemas.openxmlformats.org/officeDocument/2006/relationships/hyperlink" Target="https://www.malaymail.com/news/malaysia/2023/11/07/shunned-by-domestic-visitors-tourism-group-warns-langkawi-set-to-become-ghost-town-once-again/100720" TargetMode="External"/><Relationship Id="rId27" Type="http://schemas.openxmlformats.org/officeDocument/2006/relationships/hyperlink" Target="https://doi.org/10.1080/10941665.2020.1805475" TargetMode="External"/><Relationship Id="rId30" Type="http://schemas.openxmlformats.org/officeDocument/2006/relationships/hyperlink" Target="https://doi.org/10.3390/su10072580"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68C51-A9DB-418D-B9C5-745AFE82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6344</Words>
  <Characters>36165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FSKM_JSK_KK</dc:creator>
  <cp:lastModifiedBy>NORFIZA BINTI IBRAHIM</cp:lastModifiedBy>
  <cp:revision>2</cp:revision>
  <dcterms:created xsi:type="dcterms:W3CDTF">2025-01-31T03:18:00Z</dcterms:created>
  <dcterms:modified xsi:type="dcterms:W3CDTF">2025-01-31T03:18:00Z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588c56546a7b8a748a0a894fc5918adca85eae8518f52a7e75e644d85ab0785d</vt:lpwstr>
  </property>
</Properties>
</file>